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1726D8">
        <w:rPr>
          <w:rFonts w:ascii="Arial" w:hAnsi="Arial" w:cs="Arial"/>
          <w:sz w:val="18"/>
          <w:szCs w:val="18"/>
        </w:rPr>
        <w:t xml:space="preserve">Kezességi díj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190B49E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BB3B1D5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vagy COSME kezességi díjon nem nyújtható, a kezességet az Alapítvány piaci díjon vállalja.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volt elegendő támogatási kerete, és így részére jogosulatlanul került a kedvezményes kezességi díj, mint állami támogatás odaítélésre, az Alapítvány helyesbíti a kezesség kategóriáját, és kiállítja az új díjkategóriának </w:t>
      </w:r>
      <w:r w:rsidRPr="00782929">
        <w:rPr>
          <w:rFonts w:cs="Arial"/>
          <w:sz w:val="18"/>
          <w:szCs w:val="18"/>
        </w:rPr>
        <w:lastRenderedPageBreak/>
        <w:t xml:space="preserve">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>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1152411B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</w:t>
      </w:r>
      <w:r w:rsidR="00D1296A" w:rsidRPr="008B7815">
        <w:rPr>
          <w:rFonts w:cs="Arial"/>
        </w:rPr>
        <w:t xml:space="preserve">a </w:t>
      </w:r>
      <w:r w:rsidR="00D1296A" w:rsidRPr="001726D8">
        <w:rPr>
          <w:rFonts w:ascii="Arial" w:hAnsi="Arial" w:cs="Arial"/>
          <w:sz w:val="18"/>
          <w:szCs w:val="18"/>
          <w:lang w:val="hu-HU"/>
        </w:rPr>
        <w:t>p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gyi int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zm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ny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teles a szerz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ő</w:t>
      </w:r>
      <w:r w:rsidR="00D1296A" w:rsidRPr="001726D8">
        <w:rPr>
          <w:rFonts w:ascii="Arial" w:hAnsi="Arial" w:cs="Arial"/>
          <w:sz w:val="18"/>
          <w:szCs w:val="18"/>
          <w:lang w:val="hu-HU"/>
        </w:rPr>
        <w:t>d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sben meghat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rozni a biztos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tott 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vetel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s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rul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kok n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lk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ü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li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–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ö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sszeget, amelynek erej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ig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logjogosult a z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logt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á</w:t>
      </w:r>
      <w:r w:rsidR="00D1296A" w:rsidRPr="001726D8">
        <w:rPr>
          <w:rFonts w:ascii="Arial" w:hAnsi="Arial" w:cs="Arial"/>
          <w:sz w:val="18"/>
          <w:szCs w:val="18"/>
          <w:lang w:val="hu-HU"/>
        </w:rPr>
        <w:t>rgyb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ó</w:t>
      </w:r>
      <w:r w:rsidR="00D1296A" w:rsidRPr="001726D8">
        <w:rPr>
          <w:rFonts w:ascii="Arial" w:hAnsi="Arial" w:cs="Arial"/>
          <w:sz w:val="18"/>
          <w:szCs w:val="18"/>
          <w:lang w:val="hu-HU"/>
        </w:rPr>
        <w:t>l kiel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g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í</w:t>
      </w:r>
      <w:r w:rsidR="00D1296A" w:rsidRPr="001726D8">
        <w:rPr>
          <w:rFonts w:ascii="Arial" w:hAnsi="Arial" w:cs="Arial"/>
          <w:sz w:val="18"/>
          <w:szCs w:val="18"/>
          <w:lang w:val="hu-HU"/>
        </w:rPr>
        <w:t>t</w:t>
      </w:r>
      <w:r w:rsidR="00D1296A" w:rsidRPr="001726D8">
        <w:rPr>
          <w:rFonts w:ascii="Arial" w:hAnsi="Arial" w:cs="Arial" w:hint="eastAsia"/>
          <w:sz w:val="18"/>
          <w:szCs w:val="18"/>
          <w:lang w:val="hu-HU"/>
        </w:rPr>
        <w:t>é</w:t>
      </w:r>
      <w:r w:rsidR="00D1296A" w:rsidRPr="001726D8">
        <w:rPr>
          <w:rFonts w:ascii="Arial" w:hAnsi="Arial" w:cs="Arial"/>
          <w:sz w:val="18"/>
          <w:szCs w:val="18"/>
          <w:lang w:val="hu-HU"/>
        </w:rPr>
        <w:t>st kereshet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Üzletszabályzat VII.2. pontja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56C0185C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engedményezési szerződés hatálybalépésével, amennyiben 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2787407D" w14:textId="6811E8A3" w:rsidR="008C5FFF" w:rsidRDefault="0090416C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8E03EF" w:rsidRPr="007E7619">
        <w:rPr>
          <w:lang w:val="hu-HU"/>
        </w:rPr>
        <w:t>a</w:t>
      </w:r>
    </w:p>
    <w:p w14:paraId="4246A9D9" w14:textId="59501AD0" w:rsidR="00943D7C" w:rsidRPr="00946C72" w:rsidRDefault="008C5FFF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mennyiben a </w:t>
      </w:r>
      <w:r w:rsidR="00AA6723" w:rsidRPr="00946C72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számított 90 napon belül a díj els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ő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évi összege (illetve az egyösszeg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ű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díj) </w:t>
      </w:r>
      <w:r w:rsidR="00020E45" w:rsidRPr="00946C72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943D7C" w:rsidRPr="00946C72">
        <w:rPr>
          <w:rFonts w:ascii="Arial" w:hAnsi="Arial" w:cs="Arial"/>
          <w:sz w:val="18"/>
          <w:szCs w:val="18"/>
          <w:lang w:val="hu-HU"/>
        </w:rPr>
        <w:t>;</w:t>
      </w:r>
    </w:p>
    <w:p w14:paraId="587D4F4F" w14:textId="50950847" w:rsidR="00870EC2" w:rsidRPr="005335D8" w:rsidRDefault="005335D8" w:rsidP="005335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FC769A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közös megegyezése alapján megszüntetésre kerül a kezességi szerződés </w:t>
      </w:r>
      <w:r w:rsidRPr="00FF5E6F">
        <w:rPr>
          <w:rFonts w:ascii="Arial" w:hAnsi="Arial" w:cs="Arial"/>
          <w:sz w:val="18"/>
          <w:szCs w:val="18"/>
          <w:lang w:val="hu-HU"/>
        </w:rPr>
        <w:t>annak az új Kezességi Levélnek, illetve kezességi szerződésnek az aláírásának a napjával, amelynek célja, saját hitel kiváltása, feltéve, hogy a kiváltandó hitel is alapítványi kezességgel biztosított</w:t>
      </w:r>
      <w:r>
        <w:rPr>
          <w:rFonts w:ascii="Arial" w:hAnsi="Arial" w:cs="Arial"/>
          <w:sz w:val="18"/>
          <w:szCs w:val="18"/>
          <w:lang w:val="hu-HU"/>
        </w:rPr>
        <w:t xml:space="preserve">, </w:t>
      </w:r>
      <w:proofErr w:type="gramStart"/>
      <w:r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ha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 a pénzügyi intézmény az új szerződés megkötésétől számított 90 napon belül </w:t>
      </w:r>
      <w:r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Pr="00FF5E6F">
        <w:rPr>
          <w:rFonts w:ascii="Arial" w:hAnsi="Arial" w:cs="Arial"/>
          <w:sz w:val="18"/>
          <w:szCs w:val="18"/>
          <w:lang w:val="hu-HU"/>
        </w:rPr>
        <w:t>a folyósítás elmarad</w:t>
      </w:r>
      <w:r>
        <w:rPr>
          <w:rFonts w:ascii="Arial" w:hAnsi="Arial" w:cs="Arial"/>
          <w:sz w:val="18"/>
          <w:szCs w:val="18"/>
          <w:lang w:val="hu-HU"/>
        </w:rPr>
        <w:t>t</w:t>
      </w:r>
      <w:r w:rsidR="001514A2" w:rsidRPr="005335D8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esetében a kezesi helytállásra vonatkozó igény, a beváltási feltételek fennállta esetén, a hitelkeret terhére megkötött valamennyi szerződés esedékessé válásakor, a szerződések közül a legkésőbb </w:t>
      </w:r>
      <w:r w:rsidRPr="00782929">
        <w:rPr>
          <w:rFonts w:ascii="Arial" w:hAnsi="Arial" w:cs="Arial"/>
          <w:sz w:val="18"/>
          <w:szCs w:val="18"/>
          <w:lang w:val="hu-HU"/>
        </w:rPr>
        <w:lastRenderedPageBreak/>
        <w:t>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vagyonértékelés(ek)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26B6003E" w:rsidR="00FC4C4C" w:rsidRPr="00782929" w:rsidRDefault="00FC4C4C" w:rsidP="00015D0A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22621D63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 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4C73E242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1F6A7D40" w:rsidR="003C540B" w:rsidRDefault="00BC6B91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lastRenderedPageBreak/>
        <w:t>Ha az Alapítvány a kezességvállalási szerződés alapján a pénzügyi intézménynek teljesít, úgy</w:t>
      </w:r>
      <w:r w:rsidR="00D20DD6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BC6D8B" w:rsidRPr="00782929">
        <w:rPr>
          <w:rFonts w:ascii="Arial" w:hAnsi="Arial" w:cs="Arial"/>
          <w:sz w:val="18"/>
          <w:szCs w:val="18"/>
          <w:lang w:val="hu-HU"/>
        </w:rPr>
        <w:t>a köv</w:t>
      </w:r>
      <w:r w:rsidR="00B822E5" w:rsidRPr="00782929">
        <w:rPr>
          <w:rFonts w:ascii="Arial" w:hAnsi="Arial" w:cs="Arial"/>
          <w:sz w:val="18"/>
          <w:szCs w:val="18"/>
          <w:lang w:val="hu-HU"/>
        </w:rPr>
        <w:t xml:space="preserve">etelés arányos része az </w:t>
      </w:r>
      <w:r w:rsidR="00D20DD6" w:rsidRPr="00782929">
        <w:rPr>
          <w:rFonts w:ascii="Arial" w:hAnsi="Arial" w:cs="Arial"/>
          <w:sz w:val="18"/>
          <w:szCs w:val="18"/>
          <w:lang w:val="hu-HU"/>
        </w:rPr>
        <w:t>Alapítványra száll át biztosítékaival, az azt biztosító jogokkal, valamint a végrehajtási joggal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együtt. Az így keletkező alapítványi követelések érvényesítésére vonatkozó további szabályokat az Üzletszabályzat tartalmazza.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77777777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Pr="00782929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4AB43CB1" w14:textId="6A11199B" w:rsidR="00755B05" w:rsidRPr="000F65F1" w:rsidRDefault="00DD00CB" w:rsidP="000D12BC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COSME kezességre, különösen a </w:t>
      </w:r>
      <w:r w:rsidR="00B867BA" w:rsidRPr="00782929">
        <w:rPr>
          <w:rFonts w:ascii="Arial" w:hAnsi="Arial" w:cs="Arial"/>
          <w:sz w:val="18"/>
          <w:szCs w:val="18"/>
          <w:lang w:val="hu-HU"/>
        </w:rPr>
        <w:t>megtér</w:t>
      </w:r>
      <w:r w:rsidR="00B867BA">
        <w:rPr>
          <w:rFonts w:ascii="Arial" w:hAnsi="Arial" w:cs="Arial"/>
          <w:sz w:val="18"/>
          <w:szCs w:val="18"/>
          <w:lang w:val="hu-HU"/>
        </w:rPr>
        <w:t>ülési</w:t>
      </w:r>
      <w:r w:rsidR="00B867BA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elsőbbséget biztosító COSME kezességre a fentiektől eltérő szabályok vonatkoznak az Üzletszabályzat 4. számú mellékletében rögzítettek szerint, amely szabályokat a pénzügyi intézmény </w:t>
      </w:r>
      <w:r w:rsidR="00332C2A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jelen Általános Szerződési Feltételek aláírása előtt megismert, és az abban foglaltakat kifejezetten elfogadja.</w:t>
      </w:r>
    </w:p>
    <w:p w14:paraId="59CF5843" w14:textId="77777777" w:rsidR="00A970F7" w:rsidRPr="0087261C" w:rsidRDefault="00A970F7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775FC4C6" w:rsidR="00A970F7" w:rsidRPr="00700569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5A08D2C4" w:rsidR="00BC6B91" w:rsidRPr="00782929" w:rsidRDefault="005E6C60" w:rsidP="000D12BC">
      <w:pPr>
        <w:spacing w:before="0" w:after="0"/>
        <w:ind w:left="0"/>
        <w:rPr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3" w:name="_GoBack"/>
      <w:r>
        <w:rPr>
          <w:rFonts w:ascii="Arial" w:hAnsi="Arial" w:cs="Arial"/>
          <w:noProof/>
          <w:sz w:val="18"/>
          <w:szCs w:val="18"/>
        </w:rPr>
        <w:t>..............................</w:t>
      </w:r>
      <w:bookmarkEnd w:id="3"/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FELTÉTELEK-et,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lastRenderedPageBreak/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D088F0F" w14:textId="77777777" w:rsidTr="00B576C2">
        <w:tc>
          <w:tcPr>
            <w:tcW w:w="4820" w:type="dxa"/>
            <w:vAlign w:val="bottom"/>
          </w:tcPr>
          <w:p w14:paraId="3845728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B46E6C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103C4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BE658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D54A6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794044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47597F9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5406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87245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8A05E9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111692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FAD44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8AE97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0F5C05" w14:textId="31C630A2" w:rsidR="00DC5CF6" w:rsidRDefault="00DC5CF6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4" w:name="pr2"/>
      <w:bookmarkStart w:id="5" w:name="_Toc477250364"/>
      <w:bookmarkStart w:id="6" w:name="_Toc477250409"/>
      <w:bookmarkStart w:id="7" w:name="_Toc477250465"/>
      <w:bookmarkStart w:id="8" w:name="_Toc490144058"/>
      <w:bookmarkStart w:id="9" w:name="_Toc246929553"/>
      <w:bookmarkStart w:id="10" w:name="_Toc385192684"/>
      <w:bookmarkStart w:id="11" w:name="_Toc385192858"/>
      <w:bookmarkStart w:id="12" w:name="_Toc385192938"/>
      <w:bookmarkStart w:id="13" w:name="_Toc385193880"/>
      <w:bookmarkStart w:id="14" w:name="_Toc388354115"/>
      <w:bookmarkStart w:id="15" w:name="_Toc417047299"/>
      <w:bookmarkEnd w:id="4"/>
    </w:p>
    <w:p w14:paraId="1B448262" w14:textId="529185B6" w:rsidR="00E832F2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</w:p>
    <w:p w14:paraId="33C37AD9" w14:textId="6D4CA79A" w:rsidR="008D3C3B" w:rsidRDefault="008D3C3B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</w:p>
    <w:p w14:paraId="30C6B7CE" w14:textId="52863339" w:rsidR="008D3C3B" w:rsidRDefault="008D3C3B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</w:p>
    <w:p w14:paraId="0168064D" w14:textId="77777777" w:rsidR="008D3C3B" w:rsidRDefault="008D3C3B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</w:p>
    <w:p w14:paraId="0002D3BC" w14:textId="77777777" w:rsidR="00E832F2" w:rsidRPr="00F1278E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</w:p>
    <w:p w14:paraId="306D3DEB" w14:textId="77777777" w:rsidR="00B74AA8" w:rsidRPr="00F1278E" w:rsidRDefault="00B74AA8" w:rsidP="00F1278E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b/>
          <w:sz w:val="18"/>
        </w:rPr>
      </w:pPr>
      <w:bookmarkStart w:id="16" w:name="_Toc47516409"/>
      <w:bookmarkStart w:id="17" w:name="_Toc185386872"/>
      <w:bookmarkStart w:id="18" w:name="_Hlk5616536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F1278E">
        <w:rPr>
          <w:rFonts w:ascii="Arial" w:hAnsi="Arial"/>
          <w:b/>
          <w:sz w:val="18"/>
          <w:lang w:val="x-none"/>
        </w:rPr>
        <w:lastRenderedPageBreak/>
        <w:t>H I R D E T M É N Y</w:t>
      </w:r>
      <w:bookmarkEnd w:id="16"/>
    </w:p>
    <w:p w14:paraId="69ED1EEF" w14:textId="28A5114F" w:rsidR="00B74AA8" w:rsidRPr="00B74AA8" w:rsidRDefault="00B74AA8" w:rsidP="00F1278E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Érvényes: 202</w:t>
      </w:r>
      <w:r w:rsidR="008D3C3B">
        <w:rPr>
          <w:rFonts w:ascii="Arial" w:hAnsi="Arial" w:cs="Arial"/>
          <w:sz w:val="18"/>
          <w:szCs w:val="18"/>
          <w:lang w:val="hu-HU"/>
        </w:rPr>
        <w:t>2</w:t>
      </w:r>
      <w:r w:rsidRPr="00B74AA8">
        <w:rPr>
          <w:rFonts w:ascii="Arial" w:hAnsi="Arial" w:cs="Arial"/>
          <w:sz w:val="18"/>
          <w:szCs w:val="18"/>
          <w:lang w:val="hu-HU"/>
        </w:rPr>
        <w:t>.</w:t>
      </w:r>
      <w:r w:rsidRPr="00B74AA8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="002E2165">
        <w:rPr>
          <w:rFonts w:ascii="Arial" w:hAnsi="Arial" w:cs="Arial"/>
          <w:sz w:val="18"/>
          <w:szCs w:val="18"/>
          <w:lang w:val="hu-HU"/>
        </w:rPr>
        <w:t>április</w:t>
      </w:r>
      <w:r w:rsidR="005335D8" w:rsidRPr="00B74AA8">
        <w:rPr>
          <w:rFonts w:ascii="Arial" w:hAnsi="Arial" w:cs="Arial"/>
          <w:sz w:val="18"/>
          <w:szCs w:val="18"/>
          <w:lang w:val="hu-HU"/>
        </w:rPr>
        <w:t xml:space="preserve"> </w:t>
      </w:r>
      <w:r w:rsidR="002E2165">
        <w:rPr>
          <w:rFonts w:ascii="Arial" w:hAnsi="Arial" w:cs="Arial"/>
          <w:sz w:val="18"/>
          <w:szCs w:val="18"/>
          <w:lang w:val="hu-HU"/>
        </w:rPr>
        <w:t>4</w:t>
      </w:r>
      <w:r w:rsidRPr="00B74AA8">
        <w:rPr>
          <w:rFonts w:ascii="Arial" w:hAnsi="Arial" w:cs="Arial"/>
          <w:sz w:val="18"/>
          <w:szCs w:val="18"/>
          <w:lang w:val="hu-HU"/>
        </w:rPr>
        <w:t>-től</w:t>
      </w:r>
      <w:r w:rsidRPr="00B74AA8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B74AA8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48C8AA5D" w14:textId="77777777" w:rsidR="00B74AA8" w:rsidRPr="00F1278E" w:rsidRDefault="00B74AA8" w:rsidP="00F1278E">
      <w:pPr>
        <w:spacing w:before="0" w:after="0"/>
        <w:ind w:left="0"/>
        <w:jc w:val="left"/>
        <w:rPr>
          <w:rFonts w:ascii="Arial" w:hAnsi="Arial"/>
          <w:b/>
          <w:sz w:val="18"/>
          <w:lang w:val="hu-HU"/>
        </w:rPr>
      </w:pPr>
    </w:p>
    <w:p w14:paraId="553C8F12" w14:textId="77777777" w:rsidR="00B74AA8" w:rsidRPr="00F1278E" w:rsidRDefault="00B74AA8" w:rsidP="00F1278E">
      <w:pPr>
        <w:spacing w:before="0" w:after="0"/>
        <w:ind w:hanging="567"/>
        <w:jc w:val="center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I.</w:t>
      </w:r>
      <w:r w:rsidRPr="00F1278E">
        <w:rPr>
          <w:rFonts w:ascii="Arial" w:hAnsi="Arial"/>
          <w:b/>
          <w:sz w:val="18"/>
          <w:lang w:val="hu-HU"/>
        </w:rPr>
        <w:tab/>
        <w:t>A KÉSZFIZETŐ KEZESSÉG DÍJA</w:t>
      </w:r>
    </w:p>
    <w:p w14:paraId="0F4984DA" w14:textId="77777777" w:rsidR="00B74AA8" w:rsidRPr="00F1278E" w:rsidRDefault="00B74AA8" w:rsidP="00F1278E">
      <w:pPr>
        <w:spacing w:before="0" w:after="60"/>
        <w:ind w:hanging="567"/>
        <w:jc w:val="center"/>
        <w:rPr>
          <w:rFonts w:ascii="Arial" w:hAnsi="Arial"/>
          <w:b/>
          <w:sz w:val="18"/>
          <w:lang w:val="hu-HU"/>
        </w:rPr>
      </w:pPr>
    </w:p>
    <w:p w14:paraId="127A5479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x-none"/>
        </w:rPr>
        <w:t>1.</w:t>
      </w:r>
      <w:r w:rsidRPr="00F1278E">
        <w:rPr>
          <w:rFonts w:ascii="Arial" w:hAnsi="Arial"/>
          <w:b/>
          <w:sz w:val="18"/>
          <w:lang w:val="x-none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F1278E">
        <w:rPr>
          <w:rFonts w:ascii="Arial" w:hAnsi="Arial"/>
          <w:b/>
          <w:sz w:val="18"/>
          <w:u w:val="single"/>
          <w:lang w:val="x-none"/>
        </w:rPr>
        <w:t xml:space="preserve"> kezességi díj 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F1278E">
        <w:rPr>
          <w:rFonts w:ascii="Arial" w:hAnsi="Arial"/>
          <w:b/>
          <w:sz w:val="18"/>
          <w:u w:val="single"/>
          <w:lang w:val="x-none"/>
        </w:rPr>
        <w:t>mértéke</w:t>
      </w:r>
    </w:p>
    <w:p w14:paraId="7A075F0D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7D65F4D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keretében, agrárcélú ügylet esetén</w:t>
      </w:r>
    </w:p>
    <w:p w14:paraId="4612BDE7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80C11D8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9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90%-tól eltérő kezességi mérték esetén a díjkulcs arányosan változik.</w:t>
      </w:r>
    </w:p>
    <w:p w14:paraId="62157DE2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74AA8" w:rsidRPr="00B74AA8" w14:paraId="65A1B0B9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6D8B2EF3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0F95170B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F1278E">
              <w:rPr>
                <w:szCs w:val="20"/>
                <w:lang w:eastAsia="hu-HU"/>
              </w:rPr>
              <w:footnoteReference w:id="6"/>
            </w:r>
          </w:p>
        </w:tc>
      </w:tr>
      <w:tr w:rsidR="00B74AA8" w:rsidRPr="00B74AA8" w14:paraId="6E279FD3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07059E1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7D8EE657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012B4430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p w14:paraId="73E39384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(AVHGA Krízis Agrárgarancia Programon kívül)</w:t>
      </w:r>
    </w:p>
    <w:p w14:paraId="7C9F23FD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034A204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7E3825BA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699"/>
        <w:gridCol w:w="1703"/>
        <w:gridCol w:w="1699"/>
        <w:gridCol w:w="1700"/>
      </w:tblGrid>
      <w:tr w:rsidR="00B74AA8" w:rsidRPr="00B74AA8" w14:paraId="47EBB9DD" w14:textId="77777777" w:rsidTr="00F1278E">
        <w:trPr>
          <w:trHeight w:val="1016"/>
        </w:trPr>
        <w:tc>
          <w:tcPr>
            <w:tcW w:w="2263" w:type="dxa"/>
          </w:tcPr>
          <w:p w14:paraId="4B0C4C34" w14:textId="77777777" w:rsidR="00B74AA8" w:rsidRPr="00B74AA8" w:rsidRDefault="00B74AA8" w:rsidP="00F1278E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31D443E1" w14:textId="10A60046" w:rsidR="00B74AA8" w:rsidRPr="00B74AA8" w:rsidRDefault="00B5219E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2</w:t>
            </w:r>
            <w:r w:rsidR="00B74AA8"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január 9</w:t>
            </w:r>
            <w:r w:rsidR="00B74AA8" w:rsidRPr="00B74AA8">
              <w:rPr>
                <w:rFonts w:ascii="Arial" w:hAnsi="Arial" w:cs="Arial"/>
                <w:sz w:val="18"/>
                <w:szCs w:val="18"/>
                <w:lang w:val="hu-HU"/>
              </w:rPr>
              <w:t>-ig</w:t>
            </w:r>
            <w:r w:rsidR="00015D0A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7"/>
            </w:r>
            <w:r w:rsidR="00B74AA8"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Vállalkozásnak nyújtott költségvetési díjtámogatás nélkül (bruttó)</w:t>
            </w:r>
          </w:p>
        </w:tc>
        <w:tc>
          <w:tcPr>
            <w:tcW w:w="1699" w:type="dxa"/>
            <w:vAlign w:val="center"/>
          </w:tcPr>
          <w:p w14:paraId="373CD22D" w14:textId="434D0726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2022. január 1</w:t>
            </w:r>
            <w:r w:rsidR="00B5219E">
              <w:rPr>
                <w:rFonts w:ascii="Arial" w:hAnsi="Arial" w:cs="Arial"/>
                <w:sz w:val="18"/>
                <w:szCs w:val="18"/>
                <w:lang w:val="hu-HU"/>
              </w:rPr>
              <w:t>0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-től a Vállalkozásnak nyújtott költségvetési díjtámogatás nélkül (bruttó)</w:t>
            </w:r>
          </w:p>
        </w:tc>
        <w:tc>
          <w:tcPr>
            <w:tcW w:w="1699" w:type="dxa"/>
          </w:tcPr>
          <w:p w14:paraId="3357CE1B" w14:textId="4B6548E2" w:rsidR="00B74AA8" w:rsidRPr="00B74AA8" w:rsidRDefault="00B5219E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2022. január 9</w:t>
            </w:r>
            <w:r w:rsidR="00B74AA8"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-ig a Vállalkozásnak nyújtott költségvetési díjtámogatás mellett (nettó) </w:t>
            </w:r>
          </w:p>
        </w:tc>
        <w:tc>
          <w:tcPr>
            <w:tcW w:w="1700" w:type="dxa"/>
            <w:vAlign w:val="center"/>
          </w:tcPr>
          <w:p w14:paraId="4A8ABFC5" w14:textId="07A9DC93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2022. január 1</w:t>
            </w:r>
            <w:r w:rsidR="00B5219E">
              <w:rPr>
                <w:rFonts w:ascii="Arial" w:hAnsi="Arial" w:cs="Arial"/>
                <w:sz w:val="18"/>
                <w:szCs w:val="18"/>
                <w:lang w:val="hu-HU"/>
              </w:rPr>
              <w:t>0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-től a Vállalkozásnak nyújtott költségvetési díjtámogatás mellett (nettó)</w:t>
            </w:r>
            <w:r w:rsidR="00B5219E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8"/>
            </w:r>
            <w:r w:rsidRPr="00F1278E">
              <w:rPr>
                <w:szCs w:val="20"/>
                <w:lang w:eastAsia="hu-HU"/>
              </w:rPr>
              <w:t xml:space="preserve"> </w:t>
            </w:r>
          </w:p>
        </w:tc>
      </w:tr>
      <w:tr w:rsidR="00B74AA8" w:rsidRPr="00B74AA8" w14:paraId="5097F2CB" w14:textId="77777777" w:rsidTr="00F1278E">
        <w:trPr>
          <w:trHeight w:val="1016"/>
        </w:trPr>
        <w:tc>
          <w:tcPr>
            <w:tcW w:w="2263" w:type="dxa"/>
            <w:vAlign w:val="center"/>
          </w:tcPr>
          <w:p w14:paraId="3946303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hu-HU" w:eastAsia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1699" w:type="dxa"/>
            <w:vAlign w:val="center"/>
          </w:tcPr>
          <w:p w14:paraId="54B3D0FE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  <w:tc>
          <w:tcPr>
            <w:tcW w:w="1699" w:type="dxa"/>
            <w:vAlign w:val="center"/>
          </w:tcPr>
          <w:p w14:paraId="11659085" w14:textId="1A7F980B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  <w:tc>
          <w:tcPr>
            <w:tcW w:w="1699" w:type="dxa"/>
            <w:vAlign w:val="center"/>
          </w:tcPr>
          <w:p w14:paraId="0065F58B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0,15%</w:t>
            </w:r>
          </w:p>
        </w:tc>
        <w:tc>
          <w:tcPr>
            <w:tcW w:w="1700" w:type="dxa"/>
            <w:vAlign w:val="center"/>
          </w:tcPr>
          <w:p w14:paraId="628983F3" w14:textId="2BF8B105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015D0A">
              <w:rPr>
                <w:rFonts w:ascii="Arial" w:hAnsi="Arial" w:cs="Arial"/>
                <w:sz w:val="18"/>
                <w:szCs w:val="18"/>
                <w:lang w:val="hu-HU"/>
              </w:rPr>
              <w:t>25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700023AB" w14:textId="77777777" w:rsidTr="00F1278E">
        <w:trPr>
          <w:trHeight w:val="1016"/>
        </w:trPr>
        <w:tc>
          <w:tcPr>
            <w:tcW w:w="2263" w:type="dxa"/>
            <w:vAlign w:val="center"/>
          </w:tcPr>
          <w:p w14:paraId="704A4516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398" w:type="dxa"/>
            <w:gridSpan w:val="2"/>
            <w:vAlign w:val="center"/>
          </w:tcPr>
          <w:p w14:paraId="6C495A0C" w14:textId="3CD5609B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  <w:tc>
          <w:tcPr>
            <w:tcW w:w="3399" w:type="dxa"/>
            <w:gridSpan w:val="2"/>
            <w:vAlign w:val="center"/>
          </w:tcPr>
          <w:p w14:paraId="55105E57" w14:textId="60E7EA8E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0,36%</w:t>
            </w:r>
          </w:p>
        </w:tc>
      </w:tr>
      <w:tr w:rsidR="00B74AA8" w:rsidRPr="00B74AA8" w14:paraId="3B4F55EB" w14:textId="77777777" w:rsidTr="00F1278E">
        <w:trPr>
          <w:trHeight w:val="1016"/>
        </w:trPr>
        <w:tc>
          <w:tcPr>
            <w:tcW w:w="2263" w:type="dxa"/>
            <w:vAlign w:val="center"/>
          </w:tcPr>
          <w:p w14:paraId="50653ED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402" w:type="dxa"/>
            <w:gridSpan w:val="2"/>
            <w:vAlign w:val="center"/>
          </w:tcPr>
          <w:p w14:paraId="5727E71D" w14:textId="3C1E3808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  <w:tc>
          <w:tcPr>
            <w:tcW w:w="3395" w:type="dxa"/>
            <w:gridSpan w:val="2"/>
            <w:vAlign w:val="center"/>
          </w:tcPr>
          <w:p w14:paraId="30DA21CC" w14:textId="6E585AB4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0,36%</w:t>
            </w:r>
          </w:p>
        </w:tc>
      </w:tr>
      <w:tr w:rsidR="00B74AA8" w:rsidRPr="00B74AA8" w14:paraId="4BAFF23B" w14:textId="77777777" w:rsidTr="00F1278E">
        <w:trPr>
          <w:trHeight w:val="1016"/>
        </w:trPr>
        <w:tc>
          <w:tcPr>
            <w:tcW w:w="2263" w:type="dxa"/>
            <w:vAlign w:val="center"/>
          </w:tcPr>
          <w:p w14:paraId="6D9FE4CC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402" w:type="dxa"/>
            <w:gridSpan w:val="2"/>
            <w:vAlign w:val="center"/>
          </w:tcPr>
          <w:p w14:paraId="2A194A7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395" w:type="dxa"/>
            <w:gridSpan w:val="2"/>
            <w:vAlign w:val="center"/>
          </w:tcPr>
          <w:p w14:paraId="27498CEC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37EC99A0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ACE60F3" w14:textId="20C1019D" w:rsidR="00B74AA8" w:rsidRPr="00B74AA8" w:rsidRDefault="00B74AA8" w:rsidP="00F1278E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sz w:val="18"/>
          <w:szCs w:val="18"/>
          <w:lang w:val="hu-HU"/>
        </w:rPr>
        <w:lastRenderedPageBreak/>
        <w:t>Vidékfejlesztési célú ügylet esetén</w:t>
      </w:r>
      <w:r w:rsidR="00847731">
        <w:rPr>
          <w:rFonts w:ascii="Arial" w:hAnsi="Arial" w:cs="Arial"/>
          <w:b/>
          <w:sz w:val="18"/>
          <w:szCs w:val="18"/>
          <w:lang w:val="hu-HU"/>
        </w:rPr>
        <w:t xml:space="preserve"> </w:t>
      </w:r>
      <w:r w:rsidR="00847731" w:rsidRPr="00847731">
        <w:rPr>
          <w:rFonts w:ascii="Arial" w:hAnsi="Arial" w:cs="Arial"/>
          <w:b/>
          <w:sz w:val="18"/>
          <w:szCs w:val="18"/>
          <w:lang w:val="hu-HU"/>
        </w:rPr>
        <w:t>(AVHGA Krízis Agrárgarancia Program keretében és azon kívül is)</w:t>
      </w:r>
      <w:r w:rsidRPr="008D3C3B">
        <w:rPr>
          <w:vertAlign w:val="superscript"/>
        </w:rPr>
        <w:footnoteReference w:id="9"/>
      </w:r>
      <w:r w:rsidRPr="00847731">
        <w:rPr>
          <w:rFonts w:ascii="Arial" w:hAnsi="Arial" w:cs="Arial"/>
          <w:b/>
          <w:sz w:val="18"/>
          <w:szCs w:val="18"/>
          <w:vertAlign w:val="superscript"/>
          <w:lang w:val="hu-HU"/>
        </w:rPr>
        <w:t>,</w:t>
      </w:r>
      <w:r w:rsidRPr="008D3C3B">
        <w:rPr>
          <w:vertAlign w:val="superscript"/>
        </w:rPr>
        <w:footnoteReference w:id="10"/>
      </w:r>
    </w:p>
    <w:p w14:paraId="2A6A0B3E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13E0F82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4E5BABB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4534"/>
      </w:tblGrid>
      <w:tr w:rsidR="00B74AA8" w:rsidRPr="00B74AA8" w14:paraId="59EAA7EA" w14:textId="77777777" w:rsidTr="00F1278E">
        <w:trPr>
          <w:trHeight w:val="866"/>
        </w:trPr>
        <w:tc>
          <w:tcPr>
            <w:tcW w:w="4533" w:type="dxa"/>
            <w:gridSpan w:val="2"/>
            <w:vAlign w:val="center"/>
          </w:tcPr>
          <w:p w14:paraId="7C395CDD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4534" w:type="dxa"/>
            <w:vAlign w:val="center"/>
          </w:tcPr>
          <w:p w14:paraId="3FAC8EAF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847731" w:rsidRPr="00B74AA8" w14:paraId="4485169D" w14:textId="77777777" w:rsidTr="00540168">
        <w:trPr>
          <w:trHeight w:val="432"/>
        </w:trPr>
        <w:tc>
          <w:tcPr>
            <w:tcW w:w="2266" w:type="dxa"/>
            <w:vMerge w:val="restart"/>
            <w:vAlign w:val="center"/>
          </w:tcPr>
          <w:p w14:paraId="42AF6356" w14:textId="77777777" w:rsidR="00847731" w:rsidRPr="00B74AA8" w:rsidRDefault="00847731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267" w:type="dxa"/>
            <w:vAlign w:val="center"/>
          </w:tcPr>
          <w:p w14:paraId="1A389BC5" w14:textId="13F698C9" w:rsidR="00847731" w:rsidRPr="00B74AA8" w:rsidRDefault="00847731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847731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</w:t>
            </w:r>
            <w:r w:rsidRPr="00847731">
              <w:rPr>
                <w:rFonts w:ascii="Arial" w:hAnsi="Arial" w:cs="Arial" w:hint="eastAsia"/>
                <w:sz w:val="18"/>
                <w:szCs w:val="18"/>
                <w:lang w:val="hu-HU"/>
              </w:rPr>
              <w:t>ű</w:t>
            </w:r>
            <w:r w:rsidRPr="00847731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</w:t>
            </w:r>
          </w:p>
        </w:tc>
        <w:tc>
          <w:tcPr>
            <w:tcW w:w="4534" w:type="dxa"/>
            <w:vAlign w:val="center"/>
          </w:tcPr>
          <w:p w14:paraId="08BC8D4A" w14:textId="77777777" w:rsidR="00847731" w:rsidRPr="00B74AA8" w:rsidRDefault="0084773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847731" w:rsidRPr="00B74AA8" w14:paraId="2CBF310C" w14:textId="77777777" w:rsidTr="00540168">
        <w:trPr>
          <w:trHeight w:val="432"/>
        </w:trPr>
        <w:tc>
          <w:tcPr>
            <w:tcW w:w="2266" w:type="dxa"/>
            <w:vMerge/>
            <w:vAlign w:val="center"/>
          </w:tcPr>
          <w:p w14:paraId="195F84F5" w14:textId="77777777" w:rsidR="00847731" w:rsidRPr="00F1278E" w:rsidRDefault="00847731" w:rsidP="00F1278E">
            <w:pPr>
              <w:spacing w:before="0" w:after="60"/>
              <w:ind w:left="0"/>
              <w:jc w:val="left"/>
              <w:rPr>
                <w:rFonts w:ascii="Arial" w:hAnsi="Arial"/>
                <w:sz w:val="18"/>
                <w:lang w:val="x-none"/>
              </w:rPr>
            </w:pPr>
          </w:p>
        </w:tc>
        <w:tc>
          <w:tcPr>
            <w:tcW w:w="2267" w:type="dxa"/>
            <w:vAlign w:val="center"/>
          </w:tcPr>
          <w:p w14:paraId="249C53A8" w14:textId="56E1810B" w:rsidR="00847731" w:rsidRPr="00F1278E" w:rsidRDefault="00847731" w:rsidP="00F1278E">
            <w:pPr>
              <w:spacing w:before="0" w:after="60"/>
              <w:ind w:left="0"/>
              <w:jc w:val="left"/>
              <w:rPr>
                <w:rFonts w:ascii="Arial" w:hAnsi="Arial"/>
                <w:sz w:val="18"/>
                <w:lang w:val="x-none"/>
              </w:rPr>
            </w:pPr>
            <w:r w:rsidRPr="00847731">
              <w:rPr>
                <w:rFonts w:ascii="Arial" w:hAnsi="Arial"/>
                <w:sz w:val="18"/>
                <w:lang w:val="x-none"/>
              </w:rPr>
              <w:t>ha a Vállalkozás székhelye az ország más területén található</w:t>
            </w:r>
          </w:p>
        </w:tc>
        <w:tc>
          <w:tcPr>
            <w:tcW w:w="4534" w:type="dxa"/>
            <w:vAlign w:val="center"/>
          </w:tcPr>
          <w:p w14:paraId="1C420B7B" w14:textId="340CB893" w:rsidR="00847731" w:rsidRPr="00B74AA8" w:rsidRDefault="00847731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B74AA8" w:rsidRPr="00B74AA8" w14:paraId="7BD6B081" w14:textId="77777777" w:rsidTr="00F1278E">
        <w:trPr>
          <w:trHeight w:val="866"/>
        </w:trPr>
        <w:tc>
          <w:tcPr>
            <w:tcW w:w="4533" w:type="dxa"/>
            <w:gridSpan w:val="2"/>
            <w:vAlign w:val="center"/>
          </w:tcPr>
          <w:p w14:paraId="40C170D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4534" w:type="dxa"/>
            <w:vAlign w:val="center"/>
          </w:tcPr>
          <w:p w14:paraId="58136A02" w14:textId="4E9C9663" w:rsidR="00B74AA8" w:rsidRPr="00F1278E" w:rsidRDefault="00B74AA8" w:rsidP="00F1278E">
            <w:pPr>
              <w:spacing w:before="0" w:after="60"/>
              <w:ind w:left="0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</w:tr>
      <w:tr w:rsidR="00B74AA8" w:rsidRPr="00B74AA8" w14:paraId="0E2C0401" w14:textId="77777777" w:rsidTr="00F1278E">
        <w:trPr>
          <w:trHeight w:val="866"/>
        </w:trPr>
        <w:tc>
          <w:tcPr>
            <w:tcW w:w="4533" w:type="dxa"/>
            <w:gridSpan w:val="2"/>
            <w:vAlign w:val="center"/>
          </w:tcPr>
          <w:p w14:paraId="763E46A3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4534" w:type="dxa"/>
            <w:vAlign w:val="center"/>
          </w:tcPr>
          <w:p w14:paraId="4E28CC22" w14:textId="77777777" w:rsidR="00B74AA8" w:rsidRPr="00F1278E" w:rsidRDefault="00B74AA8" w:rsidP="00F1278E">
            <w:pPr>
              <w:spacing w:before="0" w:after="60"/>
              <w:ind w:left="0"/>
              <w:jc w:val="center"/>
              <w:rPr>
                <w:rFonts w:ascii="Arial" w:hAnsi="Arial"/>
                <w:sz w:val="18"/>
                <w:highlight w:val="yellow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49A25110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30C9D37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 xml:space="preserve">Az 1 000 Ft-ot el nem érő összegű kedvezményes kezességi díj (ideértve a korrigált kezességi díjat is) elengedésre kerül. </w:t>
      </w:r>
    </w:p>
    <w:p w14:paraId="45F82EFB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5D2F3184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2.</w:t>
      </w:r>
      <w:r w:rsidRPr="00F1278E">
        <w:rPr>
          <w:rFonts w:ascii="Arial" w:hAnsi="Arial"/>
          <w:b/>
          <w:sz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768B8917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2172606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F1278E">
        <w:rPr>
          <w:rFonts w:ascii="Arial" w:hAnsi="Arial"/>
          <w:sz w:val="18"/>
          <w:lang w:val="x-none"/>
        </w:rPr>
        <w:t>A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F1278E">
        <w:rPr>
          <w:rFonts w:ascii="Arial" w:hAnsi="Arial"/>
          <w:sz w:val="18"/>
          <w:lang w:val="x-none"/>
        </w:rPr>
        <w:t xml:space="preserve">legalább 3 éves futamidejű 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F1278E">
        <w:rPr>
          <w:rFonts w:ascii="Arial" w:hAnsi="Arial"/>
          <w:sz w:val="18"/>
          <w:lang w:val="x-none"/>
        </w:rPr>
        <w:t xml:space="preserve">beruházási 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hitelekhez és lízingszerződésekhez nyújtott állami támogatásnak minősülő kezesség első két számlázási időszakot (első törtév és azt követő teljes naptári év) érintő kedvezményes </w:t>
      </w:r>
      <w:r w:rsidRPr="00F1278E">
        <w:rPr>
          <w:rFonts w:ascii="Arial" w:hAnsi="Arial"/>
          <w:sz w:val="18"/>
          <w:lang w:val="x-none"/>
        </w:rPr>
        <w:t>kezességi díj</w:t>
      </w:r>
      <w:r w:rsidRPr="00B74AA8">
        <w:rPr>
          <w:rFonts w:ascii="Arial" w:hAnsi="Arial" w:cs="Arial"/>
          <w:iCs/>
          <w:sz w:val="18"/>
          <w:szCs w:val="18"/>
          <w:lang w:val="hu-HU"/>
        </w:rPr>
        <w:t>a</w:t>
      </w:r>
      <w:r w:rsidRPr="00F1278E">
        <w:rPr>
          <w:rFonts w:ascii="Arial" w:hAnsi="Arial"/>
          <w:sz w:val="18"/>
          <w:lang w:val="x-none"/>
        </w:rPr>
        <w:t xml:space="preserve"> elengedésre kerül</w:t>
      </w:r>
      <w:r w:rsidRPr="00B74AA8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F1278E">
        <w:rPr>
          <w:rFonts w:ascii="Arial" w:hAnsi="Arial"/>
          <w:sz w:val="18"/>
          <w:lang w:val="x-none"/>
        </w:rPr>
        <w:t>.</w:t>
      </w:r>
      <w:r w:rsidRPr="00B74AA8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B74AA8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2D1A98F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06AD49B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b/>
          <w:sz w:val="18"/>
          <w:szCs w:val="18"/>
          <w:lang w:val="hu-HU"/>
        </w:rPr>
        <w:t>3.</w:t>
      </w:r>
      <w:r w:rsidRPr="00B74AA8">
        <w:rPr>
          <w:rFonts w:ascii="Arial" w:hAnsi="Arial" w:cs="Arial"/>
          <w:b/>
          <w:sz w:val="18"/>
          <w:szCs w:val="18"/>
          <w:lang w:val="hu-HU"/>
        </w:rPr>
        <w:tab/>
      </w:r>
      <w:r w:rsidRPr="00B74AA8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4D6B23D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24AA761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503F787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243BADDE" w14:textId="77777777" w:rsidR="00B74AA8" w:rsidRPr="00B74AA8" w:rsidRDefault="00B74AA8" w:rsidP="00F1278E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2089DD7D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2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74AA8" w:rsidRPr="00B74AA8" w14:paraId="202F2F32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6402D4F5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BB09EF5" w14:textId="77777777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</w:p>
          <w:p w14:paraId="21CF02AF" w14:textId="68423C7D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lang w:val="x-none"/>
              </w:rPr>
              <w:t>1,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14%</w:t>
            </w:r>
          </w:p>
          <w:p w14:paraId="1DA6B9B6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74AA8" w:rsidRPr="00B74AA8" w14:paraId="752A6630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D324DD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DE1A958" w14:textId="2E36AC30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1,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11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77F69905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769F3BBE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55C3CF0D" w14:textId="0278785F" w:rsidR="00B74AA8" w:rsidRPr="00B74AA8" w:rsidRDefault="00B74AA8" w:rsidP="00B74AA8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lang w:val="hu-HU"/>
              </w:rPr>
              <w:t>1,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11%</w:t>
            </w:r>
          </w:p>
          <w:p w14:paraId="53EAF645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74AA8" w:rsidRPr="00B74AA8" w14:paraId="341C7160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A593A7E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5C25E058" w14:textId="5A92DE61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2%</w:t>
            </w:r>
          </w:p>
        </w:tc>
      </w:tr>
    </w:tbl>
    <w:p w14:paraId="42364EC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387A3A5C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pacing w:val="-6"/>
          <w:sz w:val="18"/>
          <w:lang w:val="hu-HU"/>
        </w:rPr>
        <w:t>Nem elsődleges agrár célú ügylet esetén</w:t>
      </w:r>
    </w:p>
    <w:p w14:paraId="441DA91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tbl>
      <w:tblPr>
        <w:tblStyle w:val="Rcsostblzat2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B74AA8" w:rsidRPr="00B74AA8" w14:paraId="544C5D0F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40EDF1F6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3685332" w14:textId="4F6A16A4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2,01%</w:t>
            </w:r>
          </w:p>
        </w:tc>
      </w:tr>
      <w:tr w:rsidR="00B74AA8" w:rsidRPr="00B74AA8" w14:paraId="22AD92C5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109AF59F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3CDA131" w14:textId="33F35E88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34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0A493974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77E44B5B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0C2BE051" w14:textId="1A7E4FCA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1,</w:t>
            </w:r>
            <w:r w:rsidRPr="00B74AA8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11</w:t>
            </w: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B74AA8" w:rsidRPr="00B74AA8" w14:paraId="41076D02" w14:textId="77777777" w:rsidTr="00F1278E">
        <w:trPr>
          <w:trHeight w:val="1016"/>
        </w:trPr>
        <w:tc>
          <w:tcPr>
            <w:tcW w:w="2113" w:type="pct"/>
            <w:vAlign w:val="center"/>
          </w:tcPr>
          <w:p w14:paraId="362DC932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F1278E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158C4388" w14:textId="5BC509D0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1278E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2%</w:t>
            </w:r>
          </w:p>
        </w:tc>
      </w:tr>
    </w:tbl>
    <w:p w14:paraId="54EDACD5" w14:textId="77777777" w:rsidR="00B74AA8" w:rsidRPr="00F1278E" w:rsidRDefault="00B74AA8" w:rsidP="00F1278E">
      <w:pPr>
        <w:shd w:val="clear" w:color="auto" w:fill="FFFFFF"/>
        <w:spacing w:before="0" w:after="100"/>
        <w:ind w:left="0"/>
        <w:rPr>
          <w:rFonts w:ascii="Arial" w:hAnsi="Arial"/>
          <w:sz w:val="18"/>
          <w:lang w:val="hu-HU"/>
        </w:rPr>
      </w:pPr>
    </w:p>
    <w:p w14:paraId="3D0C4FAE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lang w:val="x-none"/>
        </w:rPr>
      </w:pPr>
      <w:r w:rsidRPr="00B74AA8">
        <w:rPr>
          <w:rFonts w:ascii="Arial" w:hAnsi="Arial" w:cs="Arial"/>
          <w:sz w:val="18"/>
          <w:szCs w:val="18"/>
          <w:lang w:val="x-none"/>
        </w:rPr>
        <w:t>A</w:t>
      </w:r>
      <w:r w:rsidRPr="00F1278E">
        <w:rPr>
          <w:rFonts w:ascii="Arial" w:hAnsi="Arial"/>
          <w:sz w:val="18"/>
          <w:lang w:val="hu-HU"/>
        </w:rPr>
        <w:t xml:space="preserve"> piaci kezességi</w:t>
      </w:r>
      <w:r w:rsidRPr="00B74AA8">
        <w:rPr>
          <w:rFonts w:ascii="Arial" w:hAnsi="Arial" w:cs="Arial"/>
          <w:sz w:val="18"/>
          <w:szCs w:val="18"/>
          <w:lang w:val="x-none"/>
        </w:rPr>
        <w:t xml:space="preserve"> díj minimális összege </w:t>
      </w:r>
      <w:r w:rsidRPr="00F1278E">
        <w:rPr>
          <w:rFonts w:ascii="Arial" w:hAnsi="Arial"/>
          <w:sz w:val="18"/>
          <w:lang w:val="hu-HU"/>
        </w:rPr>
        <w:t xml:space="preserve">1 </w:t>
      </w:r>
      <w:r w:rsidRPr="00B74AA8">
        <w:rPr>
          <w:rFonts w:ascii="Arial" w:hAnsi="Arial" w:cs="Arial"/>
          <w:sz w:val="18"/>
          <w:szCs w:val="18"/>
          <w:lang w:val="x-none"/>
        </w:rPr>
        <w:t>000 Ft.</w:t>
      </w:r>
    </w:p>
    <w:p w14:paraId="1C599A0F" w14:textId="77777777" w:rsidR="00B74AA8" w:rsidRPr="00B74AA8" w:rsidRDefault="00B74AA8" w:rsidP="00F1278E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lang w:val="x-none"/>
        </w:rPr>
      </w:pPr>
    </w:p>
    <w:p w14:paraId="3477EEBE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4.</w:t>
      </w:r>
      <w:r w:rsidRPr="00F1278E">
        <w:rPr>
          <w:rFonts w:ascii="Arial" w:hAnsi="Arial"/>
          <w:b/>
          <w:sz w:val="18"/>
          <w:lang w:val="hu-HU"/>
        </w:rPr>
        <w:tab/>
      </w:r>
      <w:r w:rsidRPr="00F1278E">
        <w:rPr>
          <w:rFonts w:ascii="Arial" w:hAnsi="Arial"/>
          <w:b/>
          <w:sz w:val="18"/>
          <w:u w:val="single"/>
          <w:lang w:val="hu-HU"/>
        </w:rPr>
        <w:t>COSME kezességi díj évenkénti mértéke</w:t>
      </w:r>
    </w:p>
    <w:p w14:paraId="780EB8D3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67D573A1" w14:textId="77777777" w:rsidR="00B74AA8" w:rsidRPr="00B74AA8" w:rsidRDefault="00B74AA8" w:rsidP="00F1278E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</w:t>
      </w:r>
      <w:r w:rsidRPr="00F1278E">
        <w:rPr>
          <w:rFonts w:ascii="Arial" w:hAnsi="Arial"/>
          <w:sz w:val="18"/>
          <w:lang w:val="x-none"/>
        </w:rPr>
        <w:t xml:space="preserve">íjmértékek </w:t>
      </w:r>
      <w:r w:rsidRPr="00B74AA8">
        <w:rPr>
          <w:rFonts w:ascii="Arial" w:hAnsi="Arial" w:cs="Arial"/>
          <w:sz w:val="18"/>
          <w:szCs w:val="18"/>
          <w:lang w:val="hu-HU"/>
        </w:rPr>
        <w:t>8</w:t>
      </w:r>
      <w:r w:rsidRPr="00F1278E">
        <w:rPr>
          <w:rFonts w:ascii="Arial" w:hAnsi="Arial"/>
          <w:sz w:val="18"/>
          <w:lang w:val="x-none"/>
        </w:rPr>
        <w:t>0%-os készfizető kezesség</w:t>
      </w:r>
      <w:r w:rsidRPr="00B74AA8">
        <w:rPr>
          <w:rFonts w:ascii="Arial" w:hAnsi="Arial" w:cs="Arial"/>
          <w:sz w:val="18"/>
          <w:szCs w:val="18"/>
          <w:lang w:val="hu-HU"/>
        </w:rPr>
        <w:t>re vonatkozóan</w:t>
      </w:r>
      <w:r w:rsidRPr="00F1278E">
        <w:rPr>
          <w:rFonts w:ascii="Arial" w:hAnsi="Arial"/>
          <w:sz w:val="18"/>
          <w:lang w:val="x-none"/>
        </w:rPr>
        <w:t>, a kezességgel biztosított összeg százalékában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B74AA8" w:rsidRPr="00B74AA8" w14:paraId="4EE32D29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02C1E6CC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</w:t>
            </w:r>
            <w:r w:rsidRPr="00F1278E">
              <w:rPr>
                <w:rFonts w:ascii="Arial" w:hAnsi="Arial"/>
                <w:spacing w:val="-6"/>
                <w:sz w:val="18"/>
                <w:szCs w:val="20"/>
                <w:lang w:val="x-none" w:eastAsia="hu-HU"/>
              </w:rPr>
              <w:t>grárcélú ügylet esetén</w:t>
            </w:r>
          </w:p>
        </w:tc>
        <w:tc>
          <w:tcPr>
            <w:tcW w:w="4534" w:type="dxa"/>
            <w:vAlign w:val="center"/>
          </w:tcPr>
          <w:p w14:paraId="63BFC486" w14:textId="51482B1C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237F93">
              <w:rPr>
                <w:rFonts w:ascii="Arial" w:hAnsi="Arial" w:cs="Arial"/>
                <w:sz w:val="18"/>
                <w:szCs w:val="18"/>
                <w:lang w:val="hu-HU"/>
              </w:rPr>
              <w:t>7</w:t>
            </w: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B74AA8" w:rsidRPr="00B74AA8" w14:paraId="15F94994" w14:textId="77777777" w:rsidTr="00F1278E">
        <w:trPr>
          <w:trHeight w:val="866"/>
        </w:trPr>
        <w:tc>
          <w:tcPr>
            <w:tcW w:w="4533" w:type="dxa"/>
            <w:vAlign w:val="center"/>
          </w:tcPr>
          <w:p w14:paraId="7C485EA0" w14:textId="77777777" w:rsidR="00B74AA8" w:rsidRPr="00B74AA8" w:rsidRDefault="00B74AA8" w:rsidP="00F1278E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</w:t>
            </w:r>
            <w:r w:rsidRPr="00F1278E">
              <w:rPr>
                <w:rFonts w:ascii="Arial" w:hAnsi="Arial"/>
                <w:spacing w:val="-6"/>
                <w:sz w:val="18"/>
                <w:szCs w:val="20"/>
                <w:lang w:val="x-none" w:eastAsia="hu-HU"/>
              </w:rPr>
              <w:t>idékfejlesztési célú ügylet esetén</w:t>
            </w:r>
          </w:p>
        </w:tc>
        <w:tc>
          <w:tcPr>
            <w:tcW w:w="4534" w:type="dxa"/>
            <w:vAlign w:val="center"/>
          </w:tcPr>
          <w:p w14:paraId="7F630D1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178864BF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  <w:r w:rsidRPr="00F1278E">
        <w:rPr>
          <w:rFonts w:ascii="Arial" w:hAnsi="Arial"/>
          <w:sz w:val="18"/>
          <w:lang w:val="hu-HU"/>
        </w:rPr>
        <w:t xml:space="preserve">Az 1 000 Ft-ot el nem érő összegű COSME kezességi díj elengedésre kerül. </w:t>
      </w:r>
    </w:p>
    <w:p w14:paraId="668DACC8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642A53BD" w14:textId="2B0411BC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5.</w:t>
      </w:r>
      <w:r w:rsidRPr="00F1278E">
        <w:rPr>
          <w:rFonts w:ascii="Arial" w:hAnsi="Arial"/>
          <w:b/>
          <w:sz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>Agrár Széchenyi</w:t>
      </w:r>
      <w:r w:rsidR="005826A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Újraindítási</w:t>
      </w:r>
      <w:r w:rsidRPr="00B74AA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Beruházási Hitel Program kezességi díj évenkénti mértéke</w:t>
      </w:r>
    </w:p>
    <w:p w14:paraId="46DB66C1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6A01E5EF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sz w:val="18"/>
          <w:szCs w:val="18"/>
          <w:u w:val="single"/>
          <w:lang w:val="hu-HU"/>
        </w:rPr>
        <w:t>5.1. Átmeneti támogatási jogcímen nyújtott kedvezményes kezességi díj</w:t>
      </w:r>
    </w:p>
    <w:p w14:paraId="65DEEA4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33CE6136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90%-os készfizető kezességre vonatkozóan, a kezességgel biztosított összeg százalékában kerülnek feltüntetésre.</w:t>
      </w:r>
    </w:p>
    <w:p w14:paraId="0F743008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11"/>
        <w:tblW w:w="9067" w:type="dxa"/>
        <w:tblLook w:val="04A0" w:firstRow="1" w:lastRow="0" w:firstColumn="1" w:lastColumn="0" w:noHBand="0" w:noVBand="1"/>
      </w:tblPr>
      <w:tblGrid>
        <w:gridCol w:w="2263"/>
        <w:gridCol w:w="3402"/>
        <w:gridCol w:w="3402"/>
      </w:tblGrid>
      <w:tr w:rsidR="00B74AA8" w:rsidRPr="00B74AA8" w14:paraId="0936B9B6" w14:textId="77777777" w:rsidTr="00F1278E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6D75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Futamidő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177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kedvezményes kezességi díj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204A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Vállalkozásnak nyújtott költségvetési díjtámogatás mellett a vállalkozás által fizetendő (nettó) kedvezményes kezességi díj </w:t>
            </w:r>
          </w:p>
        </w:tc>
      </w:tr>
      <w:tr w:rsidR="00B74AA8" w:rsidRPr="00B74AA8" w14:paraId="15FFB3FB" w14:textId="77777777" w:rsidTr="00F1278E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344A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Legfeljebb 3 év esetén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C511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1,5%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C9E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  <w:tr w:rsidR="00B74AA8" w:rsidRPr="00B74AA8" w14:paraId="5DD83A76" w14:textId="77777777" w:rsidTr="00F1278E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0D7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Több, mint 3 év esetén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AB9E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9920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</w:tr>
    </w:tbl>
    <w:p w14:paraId="4B47B8E7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</w:p>
    <w:p w14:paraId="198D4F4F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u w:val="single"/>
          <w:lang w:val="hu-HU"/>
        </w:rPr>
      </w:pPr>
      <w:r w:rsidRPr="00B74AA8">
        <w:rPr>
          <w:rFonts w:ascii="Arial" w:hAnsi="Arial" w:cs="Arial"/>
          <w:iCs/>
          <w:sz w:val="18"/>
          <w:szCs w:val="18"/>
          <w:u w:val="single"/>
          <w:lang w:val="hu-HU"/>
        </w:rPr>
        <w:t>5.2 Piaci kezességi díj</w:t>
      </w:r>
    </w:p>
    <w:p w14:paraId="5D2857EC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u w:val="single"/>
          <w:lang w:val="hu-HU"/>
        </w:rPr>
      </w:pPr>
    </w:p>
    <w:p w14:paraId="6FC1EAD9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</w:t>
      </w:r>
    </w:p>
    <w:p w14:paraId="7D5B792B" w14:textId="77777777" w:rsidR="00B74AA8" w:rsidRPr="00B74AA8" w:rsidRDefault="00B74AA8" w:rsidP="00F1278E">
      <w:pPr>
        <w:shd w:val="clear" w:color="auto" w:fill="FFFFFF"/>
        <w:spacing w:before="0" w:after="60"/>
        <w:ind w:left="0"/>
        <w:rPr>
          <w:rFonts w:ascii="Arial" w:hAnsi="Arial" w:cs="Arial"/>
          <w:iCs/>
          <w:sz w:val="18"/>
          <w:szCs w:val="18"/>
          <w:u w:val="single"/>
          <w:lang w:val="hu-HU"/>
        </w:rPr>
      </w:pPr>
    </w:p>
    <w:tbl>
      <w:tblPr>
        <w:tblW w:w="7389" w:type="dxa"/>
        <w:tblLook w:val="04A0" w:firstRow="1" w:lastRow="0" w:firstColumn="1" w:lastColumn="0" w:noHBand="0" w:noVBand="1"/>
      </w:tblPr>
      <w:tblGrid>
        <w:gridCol w:w="1897"/>
        <w:gridCol w:w="2701"/>
        <w:gridCol w:w="2791"/>
      </w:tblGrid>
      <w:tr w:rsidR="00B74AA8" w:rsidRPr="00B74AA8" w14:paraId="33A59314" w14:textId="77777777" w:rsidTr="00F1278E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6E04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71FD" w14:textId="77777777" w:rsidR="00B74AA8" w:rsidRPr="00B74AA8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piaci kezességi díj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A4EA" w14:textId="072E61F5" w:rsidR="00B74AA8" w:rsidRPr="00B74AA8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B74AA8" w:rsidRPr="00B74AA8" w14:paraId="0109A2B2" w14:textId="77777777" w:rsidTr="00F1278E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39A8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E89A" w14:textId="1970AC5A" w:rsidR="00B74AA8" w:rsidRPr="00F1278E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/>
                <w:sz w:val="18"/>
                <w:lang w:val="hu-HU"/>
              </w:rPr>
            </w:pPr>
            <w:r w:rsidRPr="00F1278E">
              <w:rPr>
                <w:rFonts w:ascii="Arial" w:hAnsi="Arial"/>
                <w:sz w:val="18"/>
                <w:lang w:val="hu-HU"/>
              </w:rPr>
              <w:t>1,</w:t>
            </w: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14</w:t>
            </w:r>
            <w:r w:rsidRPr="00F1278E">
              <w:rPr>
                <w:rFonts w:ascii="Arial" w:hAnsi="Arial"/>
                <w:sz w:val="18"/>
                <w:lang w:val="hu-HU"/>
              </w:rPr>
              <w:t>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3E7A" w14:textId="1290C2F4" w:rsidR="00B74AA8" w:rsidRPr="00F1278E" w:rsidRDefault="00B74AA8" w:rsidP="00F1278E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/>
                <w:sz w:val="18"/>
                <w:lang w:val="hu-HU"/>
              </w:rPr>
            </w:pPr>
            <w:r w:rsidRPr="00F1278E">
              <w:rPr>
                <w:rFonts w:ascii="Arial" w:hAnsi="Arial"/>
                <w:sz w:val="18"/>
                <w:lang w:val="hu-HU"/>
              </w:rPr>
              <w:t>0,</w:t>
            </w: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14</w:t>
            </w:r>
            <w:r w:rsidRPr="00F1278E">
              <w:rPr>
                <w:rFonts w:ascii="Arial" w:hAnsi="Arial"/>
                <w:sz w:val="18"/>
                <w:lang w:val="hu-HU"/>
              </w:rPr>
              <w:t>%</w:t>
            </w:r>
          </w:p>
        </w:tc>
      </w:tr>
      <w:tr w:rsidR="00B74AA8" w:rsidRPr="00B74AA8" w14:paraId="6B597972" w14:textId="77777777" w:rsidTr="00474ADF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2801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A80D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2,01%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B90F" w14:textId="77777777" w:rsidR="00B74AA8" w:rsidRPr="00B74AA8" w:rsidRDefault="00B74AA8" w:rsidP="00B74AA8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1,01%</w:t>
            </w:r>
          </w:p>
        </w:tc>
      </w:tr>
    </w:tbl>
    <w:p w14:paraId="6294F423" w14:textId="678B6967" w:rsidR="00B74AA8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3D18877F" w14:textId="77777777" w:rsidR="00A730D0" w:rsidRPr="008350F3" w:rsidRDefault="00A730D0" w:rsidP="00A730D0">
      <w:pPr>
        <w:shd w:val="clear" w:color="auto" w:fill="FFFFFF"/>
        <w:spacing w:after="60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8350F3">
        <w:rPr>
          <w:rFonts w:ascii="Arial" w:hAnsi="Arial" w:cs="Arial"/>
          <w:b/>
          <w:bCs/>
          <w:spacing w:val="-3"/>
          <w:sz w:val="18"/>
          <w:szCs w:val="18"/>
        </w:rPr>
        <w:t>6.</w:t>
      </w:r>
      <w:r w:rsidRPr="008350F3">
        <w:rPr>
          <w:rFonts w:ascii="Arial" w:hAnsi="Arial" w:cs="Arial"/>
          <w:b/>
          <w:bCs/>
          <w:spacing w:val="-3"/>
          <w:sz w:val="18"/>
          <w:szCs w:val="18"/>
        </w:rPr>
        <w:tab/>
      </w:r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>Széchenyi Mikrohitel Konstrukció kezességi díj évenkénti mértéke</w:t>
      </w:r>
    </w:p>
    <w:p w14:paraId="7112D512" w14:textId="77777777" w:rsidR="00A730D0" w:rsidRPr="008350F3" w:rsidRDefault="00A730D0" w:rsidP="00A730D0">
      <w:pPr>
        <w:shd w:val="clear" w:color="auto" w:fill="FFFFFF"/>
        <w:spacing w:after="60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7A850DBE" w14:textId="77777777" w:rsidR="00A730D0" w:rsidRPr="008350F3" w:rsidRDefault="00A730D0" w:rsidP="00A730D0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  <w:r w:rsidRPr="008350F3">
        <w:rPr>
          <w:rFonts w:ascii="Arial" w:hAnsi="Arial" w:cs="Arial"/>
          <w:sz w:val="18"/>
          <w:szCs w:val="18"/>
        </w:rPr>
        <w:t>A díjmértékek 80%-os készfizet</w:t>
      </w:r>
      <w:r w:rsidRPr="008350F3">
        <w:rPr>
          <w:rFonts w:ascii="Arial" w:hAnsi="Arial" w:cs="Arial" w:hint="eastAsia"/>
          <w:sz w:val="18"/>
          <w:szCs w:val="18"/>
        </w:rPr>
        <w:t>ő</w:t>
      </w:r>
      <w:r w:rsidRPr="008350F3">
        <w:rPr>
          <w:rFonts w:ascii="Arial" w:hAnsi="Arial" w:cs="Arial"/>
          <w:sz w:val="18"/>
          <w:szCs w:val="18"/>
        </w:rPr>
        <w:t xml:space="preserve"> kezességre vonatkozóan, a kezességgel biztosított összeg százalékában kerülnek feltüntetésre.</w:t>
      </w:r>
    </w:p>
    <w:p w14:paraId="5D6D3C1D" w14:textId="77777777" w:rsidR="00A730D0" w:rsidRDefault="00A730D0" w:rsidP="00A730D0">
      <w:pPr>
        <w:shd w:val="clear" w:color="auto" w:fill="FFFFFF"/>
        <w:spacing w:after="60"/>
        <w:rPr>
          <w:rFonts w:cs="Arial"/>
          <w:b/>
          <w:bCs/>
          <w:spacing w:val="-3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730D0" w14:paraId="182B02F6" w14:textId="77777777" w:rsidTr="008350F3">
        <w:tc>
          <w:tcPr>
            <w:tcW w:w="3020" w:type="dxa"/>
          </w:tcPr>
          <w:p w14:paraId="42A81BBF" w14:textId="77777777" w:rsidR="00A730D0" w:rsidRPr="008350F3" w:rsidRDefault="00A730D0" w:rsidP="008350F3">
            <w:pPr>
              <w:spacing w:after="60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463D47DA" w14:textId="77777777" w:rsidR="00A730D0" w:rsidRPr="008350F3" w:rsidRDefault="00A730D0" w:rsidP="008350F3">
            <w:pPr>
              <w:spacing w:after="60"/>
              <w:ind w:left="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a Vállalkozásnak csekély összeg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ű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(de minimis) jogcímen nyújtott díjtámogatás esetén</w:t>
            </w:r>
          </w:p>
        </w:tc>
        <w:tc>
          <w:tcPr>
            <w:tcW w:w="3020" w:type="dxa"/>
          </w:tcPr>
          <w:p w14:paraId="37FA4B64" w14:textId="77777777" w:rsidR="00A730D0" w:rsidRPr="008350F3" w:rsidRDefault="00A730D0" w:rsidP="008350F3">
            <w:pPr>
              <w:spacing w:after="60"/>
              <w:ind w:left="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a Vállalkozásnak átmeneti jogcímen</w:t>
            </w:r>
            <w:r w:rsidRPr="008350F3">
              <w:rPr>
                <w:rStyle w:val="Lbjegyzet-hivatkozs"/>
                <w:rFonts w:ascii="Arial" w:hAnsi="Arial" w:cs="Arial"/>
                <w:bCs/>
                <w:spacing w:val="-3"/>
                <w:sz w:val="18"/>
                <w:szCs w:val="18"/>
              </w:rPr>
              <w:footnoteReference w:id="11"/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nyújtott díjtámogatás esetén</w:t>
            </w:r>
          </w:p>
        </w:tc>
      </w:tr>
      <w:tr w:rsidR="00A730D0" w14:paraId="75F29F8C" w14:textId="77777777" w:rsidTr="008350F3">
        <w:tc>
          <w:tcPr>
            <w:tcW w:w="3020" w:type="dxa"/>
            <w:vMerge w:val="restart"/>
          </w:tcPr>
          <w:p w14:paraId="451D63B8" w14:textId="2D10B234" w:rsidR="00A730D0" w:rsidRPr="008350F3" w:rsidRDefault="00A730D0" w:rsidP="008350F3">
            <w:pPr>
              <w:spacing w:after="60"/>
              <w:ind w:left="0"/>
              <w:jc w:val="left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>Pénzügyi intézmény által megfizetend</w:t>
            </w:r>
            <w:r w:rsidRPr="008350F3">
              <w:rPr>
                <w:rFonts w:ascii="Arial" w:hAnsi="Arial" w:cs="Arial" w:hint="eastAsia"/>
                <w:bCs/>
                <w:iCs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(bruttó) kezességi díj</w:t>
            </w:r>
          </w:p>
        </w:tc>
        <w:tc>
          <w:tcPr>
            <w:tcW w:w="3020" w:type="dxa"/>
            <w:vMerge w:val="restart"/>
          </w:tcPr>
          <w:p w14:paraId="13876735" w14:textId="77777777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  <w:p w14:paraId="4C8F1C2B" w14:textId="77777777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1,14%/év</w:t>
            </w:r>
          </w:p>
        </w:tc>
        <w:tc>
          <w:tcPr>
            <w:tcW w:w="3020" w:type="dxa"/>
          </w:tcPr>
          <w:p w14:paraId="29387524" w14:textId="77777777" w:rsidR="00A730D0" w:rsidRPr="008350F3" w:rsidRDefault="00A730D0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els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dleges agrár ügylet esetén: 1,14%/év</w:t>
            </w:r>
          </w:p>
        </w:tc>
      </w:tr>
      <w:tr w:rsidR="00A730D0" w14:paraId="3EBECECD" w14:textId="77777777" w:rsidTr="008350F3">
        <w:tc>
          <w:tcPr>
            <w:tcW w:w="3020" w:type="dxa"/>
            <w:vMerge/>
          </w:tcPr>
          <w:p w14:paraId="77DFA3E9" w14:textId="77777777" w:rsidR="00A730D0" w:rsidRPr="008350F3" w:rsidRDefault="00A730D0" w:rsidP="008350F3">
            <w:pPr>
              <w:spacing w:after="60"/>
              <w:jc w:val="left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  <w:vMerge/>
          </w:tcPr>
          <w:p w14:paraId="59A00AC5" w14:textId="77777777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6BC9FB69" w14:textId="77777777" w:rsidR="00A730D0" w:rsidRPr="008350F3" w:rsidRDefault="00A730D0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nem els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dleges agrár ügylet esetén: 2,01%/év</w:t>
            </w:r>
          </w:p>
        </w:tc>
      </w:tr>
      <w:tr w:rsidR="00A730D0" w14:paraId="677E3858" w14:textId="77777777" w:rsidTr="008350F3">
        <w:tc>
          <w:tcPr>
            <w:tcW w:w="3020" w:type="dxa"/>
          </w:tcPr>
          <w:p w14:paraId="3910586D" w14:textId="77777777" w:rsidR="00A730D0" w:rsidRPr="008350F3" w:rsidRDefault="00A730D0" w:rsidP="008350F3">
            <w:pPr>
              <w:spacing w:after="60"/>
              <w:ind w:left="0"/>
              <w:jc w:val="left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Vállalkozásnak nyújtott költségvetési díjtámogatás</w:t>
            </w:r>
          </w:p>
        </w:tc>
        <w:tc>
          <w:tcPr>
            <w:tcW w:w="3020" w:type="dxa"/>
          </w:tcPr>
          <w:p w14:paraId="431D3227" w14:textId="77777777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19D2DD" w14:textId="36B0F7FF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0F3">
              <w:rPr>
                <w:rFonts w:ascii="Arial" w:hAnsi="Arial" w:cs="Arial"/>
                <w:sz w:val="18"/>
                <w:szCs w:val="18"/>
              </w:rPr>
              <w:t>1%/év</w:t>
            </w:r>
          </w:p>
          <w:p w14:paraId="43BB5A2D" w14:textId="77777777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057F4DCA" w14:textId="77777777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D7DEE6" w14:textId="70DE1F48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0F3">
              <w:rPr>
                <w:rFonts w:ascii="Arial" w:hAnsi="Arial" w:cs="Arial"/>
                <w:sz w:val="18"/>
                <w:szCs w:val="18"/>
              </w:rPr>
              <w:t>1%/év</w:t>
            </w:r>
          </w:p>
          <w:p w14:paraId="178F1751" w14:textId="77777777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A730D0" w14:paraId="2C78AFB5" w14:textId="77777777" w:rsidTr="008350F3">
        <w:tc>
          <w:tcPr>
            <w:tcW w:w="3020" w:type="dxa"/>
            <w:vMerge w:val="restart"/>
          </w:tcPr>
          <w:p w14:paraId="70447177" w14:textId="77777777" w:rsidR="00A730D0" w:rsidRPr="008350F3" w:rsidRDefault="00A730D0" w:rsidP="008350F3">
            <w:pPr>
              <w:spacing w:after="60"/>
              <w:ind w:left="0"/>
              <w:jc w:val="left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Vállalkozás által fizetend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(nettó) kezességi díj</w:t>
            </w:r>
          </w:p>
        </w:tc>
        <w:tc>
          <w:tcPr>
            <w:tcW w:w="3020" w:type="dxa"/>
            <w:vMerge w:val="restart"/>
          </w:tcPr>
          <w:p w14:paraId="0CC1D8D8" w14:textId="77777777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  <w:p w14:paraId="03A89EA1" w14:textId="77777777" w:rsidR="00A730D0" w:rsidRPr="008350F3" w:rsidRDefault="00A730D0" w:rsidP="008350F3">
            <w:pPr>
              <w:spacing w:after="60"/>
              <w:jc w:val="center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0,14%/év</w:t>
            </w:r>
          </w:p>
        </w:tc>
        <w:tc>
          <w:tcPr>
            <w:tcW w:w="3020" w:type="dxa"/>
          </w:tcPr>
          <w:p w14:paraId="76DA36E4" w14:textId="77777777" w:rsidR="00A730D0" w:rsidRPr="008350F3" w:rsidRDefault="00A730D0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els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dleges agrár ügylet esetén: 0,14%/év</w:t>
            </w:r>
          </w:p>
        </w:tc>
      </w:tr>
      <w:tr w:rsidR="00A730D0" w14:paraId="2FC29BCA" w14:textId="77777777" w:rsidTr="008350F3">
        <w:tc>
          <w:tcPr>
            <w:tcW w:w="3020" w:type="dxa"/>
            <w:vMerge/>
          </w:tcPr>
          <w:p w14:paraId="2CF9755E" w14:textId="77777777" w:rsidR="00A730D0" w:rsidRPr="008350F3" w:rsidRDefault="00A730D0" w:rsidP="008350F3">
            <w:pPr>
              <w:spacing w:after="60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  <w:vMerge/>
          </w:tcPr>
          <w:p w14:paraId="79185CFA" w14:textId="77777777" w:rsidR="00A730D0" w:rsidRPr="008350F3" w:rsidRDefault="00A730D0" w:rsidP="008350F3">
            <w:pPr>
              <w:spacing w:after="60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36B3EE1D" w14:textId="77777777" w:rsidR="00A730D0" w:rsidRPr="008350F3" w:rsidRDefault="00A730D0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nem els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dleges agrár ügylet esetén: 1,01%/év</w:t>
            </w:r>
          </w:p>
        </w:tc>
      </w:tr>
    </w:tbl>
    <w:p w14:paraId="57DF5246" w14:textId="77777777" w:rsidR="00A730D0" w:rsidRDefault="00A730D0" w:rsidP="00A730D0">
      <w:pPr>
        <w:shd w:val="clear" w:color="auto" w:fill="FFFFFF"/>
        <w:spacing w:after="60"/>
        <w:rPr>
          <w:rFonts w:cs="Arial"/>
          <w:b/>
          <w:bCs/>
          <w:spacing w:val="-3"/>
          <w:szCs w:val="22"/>
        </w:rPr>
      </w:pPr>
    </w:p>
    <w:p w14:paraId="6A5795BE" w14:textId="77777777" w:rsidR="00A730D0" w:rsidRPr="00F1278E" w:rsidRDefault="00A730D0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0766C7F2" w14:textId="77777777" w:rsidR="00B74AA8" w:rsidRPr="00F1278E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pacing w:val="-3"/>
          <w:sz w:val="18"/>
          <w:lang w:val="hu-HU"/>
        </w:rPr>
        <w:t>II.</w:t>
      </w:r>
      <w:r w:rsidRPr="00F1278E">
        <w:rPr>
          <w:rFonts w:ascii="Arial" w:hAnsi="Arial"/>
          <w:b/>
          <w:spacing w:val="-3"/>
          <w:sz w:val="18"/>
          <w:lang w:val="hu-HU"/>
        </w:rPr>
        <w:tab/>
        <w:t xml:space="preserve">KEZESSÉGI DÍJ </w:t>
      </w:r>
      <w:r w:rsidRPr="00F1278E">
        <w:rPr>
          <w:rFonts w:ascii="Arial" w:hAnsi="Arial"/>
          <w:b/>
          <w:sz w:val="18"/>
          <w:lang w:val="hu-HU"/>
        </w:rPr>
        <w:t>FIZETÉSI FELTÉTELEK</w:t>
      </w:r>
    </w:p>
    <w:p w14:paraId="0D11519B" w14:textId="77777777" w:rsidR="00B74AA8" w:rsidRPr="00F1278E" w:rsidRDefault="00B74AA8" w:rsidP="00F1278E">
      <w:pPr>
        <w:shd w:val="clear" w:color="auto" w:fill="FFFFFF"/>
        <w:spacing w:before="0" w:after="60"/>
        <w:ind w:hanging="567"/>
        <w:jc w:val="center"/>
        <w:rPr>
          <w:rFonts w:ascii="Arial" w:hAnsi="Arial"/>
          <w:b/>
          <w:spacing w:val="-3"/>
          <w:sz w:val="18"/>
          <w:lang w:val="hu-HU"/>
        </w:rPr>
      </w:pPr>
    </w:p>
    <w:p w14:paraId="6C744DBF" w14:textId="77777777" w:rsidR="00B74AA8" w:rsidRPr="00F1278E" w:rsidRDefault="00B74AA8" w:rsidP="00F1278E">
      <w:pPr>
        <w:shd w:val="clear" w:color="auto" w:fill="FFFFFF"/>
        <w:spacing w:before="0" w:after="60"/>
        <w:ind w:left="709" w:hanging="709"/>
        <w:rPr>
          <w:rFonts w:ascii="Arial" w:hAnsi="Arial"/>
          <w:b/>
          <w:spacing w:val="-3"/>
          <w:sz w:val="18"/>
          <w:lang w:val="hu-HU"/>
        </w:rPr>
      </w:pPr>
      <w:r w:rsidRPr="00F1278E">
        <w:rPr>
          <w:rFonts w:ascii="Arial" w:hAnsi="Arial"/>
          <w:b/>
          <w:spacing w:val="-3"/>
          <w:sz w:val="18"/>
          <w:lang w:val="hu-HU"/>
        </w:rPr>
        <w:t>1.</w:t>
      </w:r>
      <w:r w:rsidRPr="00F1278E">
        <w:rPr>
          <w:rFonts w:ascii="Arial" w:hAnsi="Arial"/>
          <w:b/>
          <w:spacing w:val="-3"/>
          <w:sz w:val="18"/>
          <w:lang w:val="hu-HU"/>
        </w:rPr>
        <w:tab/>
        <w:t>Díjszámítás módja</w:t>
      </w:r>
    </w:p>
    <w:p w14:paraId="44D77932" w14:textId="77777777" w:rsidR="00B74AA8" w:rsidRPr="00F1278E" w:rsidRDefault="00B74AA8" w:rsidP="00F1278E">
      <w:pPr>
        <w:shd w:val="clear" w:color="auto" w:fill="FFFFFF"/>
        <w:spacing w:before="0" w:after="60"/>
        <w:ind w:left="0"/>
        <w:rPr>
          <w:rFonts w:ascii="Arial" w:eastAsia="Calibri" w:hAnsi="Arial"/>
          <w:sz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color w:val="000000"/>
              <w:sz w:val="18"/>
              <w:lang w:val="hu-HU"/>
            </w:rPr>
            <w:lastRenderedPageBreak/>
            <m:t xml:space="preserve">Kezességi díj=kezességgel biztosított összeg*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/>
              <w:color w:val="000000"/>
              <w:sz w:val="18"/>
              <w:lang w:val="hu-HU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/>
                  <w:color w:val="000000"/>
                  <w:sz w:val="18"/>
                  <w:lang w:val="hu-HU"/>
                </w:rPr>
                <m:t>360</m:t>
              </m:r>
            </m:den>
          </m:f>
        </m:oMath>
      </m:oMathPara>
    </w:p>
    <w:p w14:paraId="195140B8" w14:textId="77777777" w:rsidR="00B74AA8" w:rsidRPr="00F1278E" w:rsidRDefault="00B74AA8" w:rsidP="00F1278E">
      <w:pPr>
        <w:shd w:val="clear" w:color="auto" w:fill="FFFFFF"/>
        <w:spacing w:before="0" w:after="60"/>
        <w:ind w:left="284"/>
        <w:rPr>
          <w:rFonts w:ascii="Arial" w:hAnsi="Arial"/>
          <w:sz w:val="18"/>
          <w:lang w:val="hu-HU"/>
        </w:rPr>
      </w:pPr>
    </w:p>
    <w:p w14:paraId="5D2C863E" w14:textId="77777777" w:rsidR="00B74AA8" w:rsidRPr="00F1278E" w:rsidRDefault="00B74AA8" w:rsidP="00F1278E">
      <w:pPr>
        <w:shd w:val="clear" w:color="auto" w:fill="FFFFFF"/>
        <w:spacing w:before="0"/>
        <w:ind w:left="709" w:hanging="709"/>
        <w:rPr>
          <w:rFonts w:ascii="Arial" w:hAnsi="Arial"/>
          <w:b/>
          <w:sz w:val="18"/>
          <w:lang w:val="hu-HU"/>
        </w:rPr>
      </w:pPr>
      <w:r w:rsidRPr="00F1278E">
        <w:rPr>
          <w:rFonts w:ascii="Arial" w:hAnsi="Arial"/>
          <w:b/>
          <w:sz w:val="18"/>
          <w:lang w:val="hu-HU"/>
        </w:rPr>
        <w:t>2.</w:t>
      </w:r>
      <w:r w:rsidRPr="00F1278E">
        <w:rPr>
          <w:rFonts w:ascii="Arial" w:hAnsi="Arial"/>
          <w:b/>
          <w:sz w:val="18"/>
          <w:lang w:val="hu-HU"/>
        </w:rPr>
        <w:tab/>
        <w:t>Általános szabályok</w:t>
      </w:r>
    </w:p>
    <w:p w14:paraId="1026E998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3FDC235E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díj számítása 360 nap/év és 30 napos hónapok </w:t>
      </w:r>
      <w:proofErr w:type="gramStart"/>
      <w:r w:rsidRPr="00F1278E">
        <w:rPr>
          <w:rFonts w:ascii="Arial" w:hAnsi="Arial"/>
          <w:sz w:val="18"/>
          <w:lang w:val="hu-HU"/>
        </w:rPr>
        <w:t>figyelembe vételével</w:t>
      </w:r>
      <w:proofErr w:type="gramEnd"/>
      <w:r w:rsidRPr="00F1278E">
        <w:rPr>
          <w:rFonts w:ascii="Arial" w:hAnsi="Arial"/>
          <w:sz w:val="18"/>
          <w:lang w:val="hu-HU"/>
        </w:rPr>
        <w:t xml:space="preserve"> történik.</w:t>
      </w:r>
    </w:p>
    <w:p w14:paraId="7B459AFF" w14:textId="77777777" w:rsidR="00B74AA8" w:rsidRPr="00070522" w:rsidRDefault="00B74AA8" w:rsidP="00F1278E">
      <w:pPr>
        <w:numPr>
          <w:ilvl w:val="1"/>
          <w:numId w:val="16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38581E46" w14:textId="77777777" w:rsidR="00B74AA8" w:rsidRPr="00070522" w:rsidRDefault="00B74AA8" w:rsidP="00F1278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legalább 368 nap, a kezességi díj fizetése évenként történik.</w:t>
      </w:r>
    </w:p>
    <w:p w14:paraId="278E442A" w14:textId="77777777" w:rsidR="00B74AA8" w:rsidRPr="00070522" w:rsidRDefault="00B74AA8" w:rsidP="00F1278E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17D9C5D8" w14:textId="77777777" w:rsidR="00B74AA8" w:rsidRPr="00070522" w:rsidRDefault="00B74AA8" w:rsidP="00F1278E">
      <w:pPr>
        <w:numPr>
          <w:ilvl w:val="2"/>
          <w:numId w:val="16"/>
        </w:numPr>
        <w:spacing w:before="0" w:after="240"/>
        <w:jc w:val="left"/>
        <w:rPr>
          <w:rFonts w:ascii="Arial" w:hAnsi="Arial"/>
          <w:sz w:val="18"/>
        </w:rPr>
      </w:pPr>
      <w:bookmarkStart w:id="19" w:name="_Hlk38864136"/>
      <w:r w:rsidRPr="00F1278E">
        <w:rPr>
          <w:rFonts w:ascii="Arial" w:hAnsi="Arial"/>
          <w:sz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1887A6FE" w14:textId="77777777" w:rsidR="00B74AA8" w:rsidRPr="00070522" w:rsidRDefault="00B74AA8" w:rsidP="00F1278E">
      <w:pPr>
        <w:numPr>
          <w:ilvl w:val="2"/>
          <w:numId w:val="16"/>
        </w:numPr>
        <w:spacing w:before="0" w:after="240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271E289B" w14:textId="77777777" w:rsidR="00B74AA8" w:rsidRPr="00070522" w:rsidRDefault="00B74AA8" w:rsidP="00F1278E">
      <w:pPr>
        <w:numPr>
          <w:ilvl w:val="2"/>
          <w:numId w:val="30"/>
        </w:numPr>
        <w:spacing w:before="0" w:after="240"/>
        <w:ind w:left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4B087CFA" w14:textId="77777777" w:rsidR="00B74AA8" w:rsidRPr="00B74AA8" w:rsidRDefault="00B74AA8" w:rsidP="00B74AA8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jc w:val="left"/>
        <w:rPr>
          <w:rFonts w:ascii="Arial" w:hAnsi="Arial" w:cs="Arial"/>
          <w:sz w:val="18"/>
          <w:szCs w:val="18"/>
          <w:lang w:val="hu-HU"/>
        </w:rPr>
      </w:pPr>
      <w:r w:rsidRPr="00F1278E">
        <w:rPr>
          <w:rFonts w:ascii="Arial" w:hAnsi="Arial"/>
          <w:sz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</w:t>
      </w:r>
      <w:r w:rsidRPr="00B74AA8">
        <w:rPr>
          <w:rFonts w:ascii="Arial" w:hAnsi="Arial" w:cs="Arial"/>
          <w:sz w:val="18"/>
          <w:szCs w:val="18"/>
          <w:lang w:val="hu-HU"/>
        </w:rPr>
        <w:t xml:space="preserve"> Továbbá, ha a Magyar Államkincstár azt állapítja meg, hogy a Vállalkozás nem jogosult költségvetési díjtámogatásra, úgy az Alapítvány jogosult a költségvetési díjtámogatás nélküli díjat alkalmazni.</w:t>
      </w:r>
    </w:p>
    <w:p w14:paraId="1FAF6547" w14:textId="77777777" w:rsidR="00B74AA8" w:rsidRPr="00070522" w:rsidRDefault="00B74AA8" w:rsidP="00F127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</w:rPr>
      </w:pPr>
    </w:p>
    <w:p w14:paraId="26CD2232" w14:textId="77777777" w:rsidR="00B74AA8" w:rsidRPr="00070522" w:rsidRDefault="00B74AA8" w:rsidP="00F1278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6A5A3FE" w14:textId="77777777" w:rsidR="00B74AA8" w:rsidRPr="00F1278E" w:rsidRDefault="00B74AA8" w:rsidP="00F127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/>
          <w:sz w:val="18"/>
          <w:lang w:val="hu-HU"/>
        </w:rPr>
      </w:pPr>
    </w:p>
    <w:p w14:paraId="3B911A38" w14:textId="77777777" w:rsidR="00B74AA8" w:rsidRPr="00070522" w:rsidRDefault="00B74AA8" w:rsidP="00F1278E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hAnsi="Arial"/>
          <w:b/>
          <w:sz w:val="18"/>
        </w:rPr>
      </w:pPr>
      <w:bookmarkStart w:id="20" w:name="_Hlk15408924"/>
      <w:r w:rsidRPr="00F1278E">
        <w:rPr>
          <w:rFonts w:ascii="Arial" w:hAnsi="Arial"/>
          <w:b/>
          <w:sz w:val="18"/>
          <w:lang w:val="hu-HU"/>
        </w:rPr>
        <w:t>Díjfizetési szabályok a kezességi szerződés módosítása</w:t>
      </w:r>
      <w:bookmarkEnd w:id="20"/>
      <w:r w:rsidRPr="00F1278E">
        <w:rPr>
          <w:rFonts w:ascii="Arial" w:hAnsi="Arial"/>
          <w:b/>
          <w:sz w:val="18"/>
          <w:lang w:val="hu-HU"/>
        </w:rPr>
        <w:t>, jogutódlás esetén</w:t>
      </w:r>
    </w:p>
    <w:p w14:paraId="48A7B31B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 módosítás a futamidő, a kezességgel biztosított összeg vagy a kezességi mérték módosulása.</w:t>
      </w:r>
    </w:p>
    <w:p w14:paraId="648EE7B3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595BB683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2E759C6D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lastRenderedPageBreak/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70FEDD75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7C82C5DD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FEDB2EF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1CF65A36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31EF85DC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4CEF2442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0D4EE1EE" w14:textId="77777777" w:rsidR="00B74AA8" w:rsidRPr="00070522" w:rsidRDefault="00B74AA8" w:rsidP="00F1278E">
      <w:pPr>
        <w:numPr>
          <w:ilvl w:val="1"/>
          <w:numId w:val="18"/>
        </w:numPr>
        <w:spacing w:before="0" w:after="24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</w:t>
      </w:r>
      <w:r w:rsidRPr="00F1278E" w:rsidDel="003E7905">
        <w:rPr>
          <w:rFonts w:ascii="Arial" w:hAnsi="Arial"/>
          <w:sz w:val="18"/>
          <w:lang w:val="hu-HU"/>
        </w:rPr>
        <w:t xml:space="preserve"> </w:t>
      </w:r>
      <w:r w:rsidRPr="00F1278E">
        <w:rPr>
          <w:rFonts w:ascii="Arial" w:hAnsi="Arial"/>
          <w:sz w:val="18"/>
          <w:lang w:val="hu-HU"/>
        </w:rPr>
        <w:t>módosítást követően piaci díj alkalmazása esetén a módosításkor hatályos Hirdetményben szereplő díjkulcs kerül alkalmazásra.</w:t>
      </w:r>
    </w:p>
    <w:p w14:paraId="263E14CB" w14:textId="77777777" w:rsidR="00B74AA8" w:rsidRPr="00070522" w:rsidRDefault="00B74AA8" w:rsidP="00F1278E">
      <w:pPr>
        <w:numPr>
          <w:ilvl w:val="1"/>
          <w:numId w:val="18"/>
        </w:numPr>
        <w:spacing w:before="0" w:after="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Kezességi díjat érintő</w:t>
      </w:r>
      <w:r w:rsidRPr="00F1278E" w:rsidDel="003E7905">
        <w:rPr>
          <w:rFonts w:ascii="Arial" w:hAnsi="Arial"/>
          <w:sz w:val="18"/>
          <w:lang w:val="hu-HU"/>
        </w:rPr>
        <w:t xml:space="preserve"> </w:t>
      </w:r>
      <w:r w:rsidRPr="00F1278E">
        <w:rPr>
          <w:rFonts w:ascii="Arial" w:hAnsi="Arial"/>
          <w:sz w:val="18"/>
          <w:lang w:val="hu-HU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36B08577" w14:textId="77777777" w:rsidR="00B74AA8" w:rsidRPr="0094511A" w:rsidRDefault="00B74AA8" w:rsidP="00F1278E">
      <w:pPr>
        <w:spacing w:before="0" w:after="0"/>
        <w:ind w:left="709"/>
        <w:rPr>
          <w:rFonts w:ascii="Arial" w:hAnsi="Arial"/>
          <w:sz w:val="18"/>
        </w:rPr>
      </w:pPr>
    </w:p>
    <w:p w14:paraId="2CFCF847" w14:textId="77777777" w:rsidR="00B74AA8" w:rsidRPr="00070522" w:rsidRDefault="00B74AA8" w:rsidP="00F1278E">
      <w:pPr>
        <w:numPr>
          <w:ilvl w:val="1"/>
          <w:numId w:val="18"/>
        </w:numPr>
        <w:spacing w:before="0" w:after="0"/>
        <w:ind w:left="709" w:hanging="709"/>
        <w:jc w:val="left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7FCD91A8" w14:textId="77777777" w:rsidR="00B74AA8" w:rsidRPr="0094511A" w:rsidRDefault="00B74AA8" w:rsidP="00F1278E">
      <w:pPr>
        <w:spacing w:before="0" w:after="0"/>
        <w:ind w:left="708"/>
        <w:rPr>
          <w:rFonts w:ascii="Arial" w:hAnsi="Arial"/>
          <w:sz w:val="18"/>
        </w:rPr>
      </w:pPr>
    </w:p>
    <w:p w14:paraId="0C59E062" w14:textId="77777777" w:rsidR="00B74AA8" w:rsidRPr="00B74AA8" w:rsidRDefault="00B74AA8" w:rsidP="00B74AA8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6F01B6F0" w14:textId="77777777" w:rsidR="00B74AA8" w:rsidRPr="00B74AA8" w:rsidRDefault="00B74AA8" w:rsidP="00B74AA8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2FD3FCE4" w14:textId="77777777" w:rsidR="00B74AA8" w:rsidRPr="00070522" w:rsidRDefault="00B74AA8" w:rsidP="00F1278E">
      <w:pPr>
        <w:numPr>
          <w:ilvl w:val="0"/>
          <w:numId w:val="18"/>
        </w:numPr>
        <w:spacing w:before="0" w:after="240"/>
        <w:ind w:left="709" w:hanging="709"/>
        <w:jc w:val="left"/>
        <w:rPr>
          <w:rFonts w:ascii="Arial" w:eastAsia="Calibri" w:hAnsi="Arial"/>
          <w:sz w:val="18"/>
        </w:rPr>
      </w:pPr>
      <w:r w:rsidRPr="00F1278E">
        <w:rPr>
          <w:rFonts w:ascii="Arial" w:hAnsi="Arial"/>
          <w:b/>
          <w:sz w:val="18"/>
          <w:lang w:val="hu-HU"/>
        </w:rPr>
        <w:t>Díjfizetési szabályok a beváltással összefüggésben</w:t>
      </w:r>
    </w:p>
    <w:p w14:paraId="72997949" w14:textId="77777777" w:rsidR="00B74AA8" w:rsidRPr="00070522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240"/>
        <w:ind w:left="720" w:right="6" w:hanging="720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4.1</w:t>
      </w:r>
      <w:r w:rsidRPr="00F1278E">
        <w:rPr>
          <w:rFonts w:ascii="Arial" w:hAnsi="Arial"/>
          <w:sz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4CEEA26" w14:textId="77777777" w:rsidR="00B74AA8" w:rsidRPr="00070522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4.2</w:t>
      </w:r>
      <w:r w:rsidRPr="00F1278E">
        <w:rPr>
          <w:rFonts w:ascii="Arial" w:hAnsi="Arial"/>
          <w:sz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10F95467" w14:textId="77777777" w:rsidR="00B74AA8" w:rsidRPr="0094511A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</w:p>
    <w:p w14:paraId="4827A76B" w14:textId="77777777" w:rsidR="00B74AA8" w:rsidRPr="00F1278E" w:rsidRDefault="00B74AA8" w:rsidP="00F1278E">
      <w:pPr>
        <w:numPr>
          <w:ilvl w:val="5"/>
          <w:numId w:val="21"/>
        </w:numPr>
        <w:shd w:val="clear" w:color="auto" w:fill="FFFFFF"/>
        <w:spacing w:before="0" w:after="240"/>
        <w:ind w:left="2693"/>
        <w:jc w:val="left"/>
        <w:rPr>
          <w:rFonts w:ascii="Arial" w:hAnsi="Arial"/>
          <w:b/>
          <w:caps/>
          <w:sz w:val="18"/>
          <w:lang w:val="hu-HU"/>
        </w:rPr>
      </w:pPr>
      <w:r w:rsidRPr="00F1278E">
        <w:rPr>
          <w:rFonts w:ascii="Arial" w:hAnsi="Arial"/>
          <w:b/>
          <w:caps/>
          <w:sz w:val="18"/>
          <w:lang w:val="hu-HU"/>
        </w:rPr>
        <w:lastRenderedPageBreak/>
        <w:t>KEZESSÉGI DÍJ VISSZATÉRÍTÉSE</w:t>
      </w:r>
    </w:p>
    <w:p w14:paraId="344E8FF6" w14:textId="77777777" w:rsidR="00B74AA8" w:rsidRPr="00B74AA8" w:rsidRDefault="00B74AA8" w:rsidP="00F1278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24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44F58CE9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1B2B977F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725F963C" w14:textId="77777777" w:rsidR="00B74AA8" w:rsidRPr="00B74AA8" w:rsidRDefault="00B74AA8" w:rsidP="00F1278E">
      <w:pPr>
        <w:numPr>
          <w:ilvl w:val="0"/>
          <w:numId w:val="17"/>
        </w:numPr>
        <w:spacing w:before="0" w:after="240"/>
        <w:ind w:left="567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5813775A" w14:textId="77777777" w:rsidR="00B74AA8" w:rsidRPr="00B74AA8" w:rsidRDefault="00B74AA8" w:rsidP="00F1278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7DD6A5C3" w14:textId="77777777" w:rsidR="00B74AA8" w:rsidRPr="00B74AA8" w:rsidRDefault="00B74AA8" w:rsidP="00F1278E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2EA22386" w14:textId="77777777" w:rsidR="00B74AA8" w:rsidRPr="00B74AA8" w:rsidRDefault="00B74AA8" w:rsidP="00B74AA8">
      <w:pPr>
        <w:numPr>
          <w:ilvl w:val="5"/>
          <w:numId w:val="21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1D39A4EC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4778B206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C52642C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7FD9DD92" w14:textId="77777777" w:rsidR="00B74AA8" w:rsidRPr="00B74AA8" w:rsidRDefault="00B74AA8" w:rsidP="00F1278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64163853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</w:p>
    <w:p w14:paraId="437BC5F5" w14:textId="77777777" w:rsidR="00B74AA8" w:rsidRPr="00B74AA8" w:rsidRDefault="00B74AA8" w:rsidP="00B74AA8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</w:p>
    <w:p w14:paraId="7E6620DE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2F07CED3" w14:textId="77777777" w:rsidR="00B74AA8" w:rsidRPr="00B74AA8" w:rsidRDefault="00B74AA8" w:rsidP="00F1278E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599636F6" w14:textId="77777777" w:rsidR="00B74AA8" w:rsidRPr="00B74AA8" w:rsidRDefault="00B74AA8" w:rsidP="00F1278E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B74AA8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B74AA8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B74AA8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72C7720D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1.1</w:t>
      </w:r>
      <w:r w:rsidRPr="00B74AA8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86F5222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a)</w:t>
      </w:r>
      <w:r w:rsidRPr="00B74AA8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1AED478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b)</w:t>
      </w:r>
      <w:r w:rsidRPr="00B74AA8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7B19CB91" w14:textId="77777777" w:rsidR="00B74AA8" w:rsidRPr="00B74AA8" w:rsidRDefault="00B74AA8" w:rsidP="00F1278E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c)</w:t>
      </w:r>
      <w:r w:rsidRPr="00B74AA8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27A380EC" w14:textId="77777777" w:rsidR="00B74AA8" w:rsidRPr="00B74AA8" w:rsidRDefault="00B74AA8" w:rsidP="00F1278E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d)</w:t>
      </w:r>
      <w:r w:rsidRPr="00B74AA8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4695B254" w14:textId="77777777" w:rsidR="00B74AA8" w:rsidRPr="00B74AA8" w:rsidRDefault="00B74AA8" w:rsidP="00F1278E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</w:p>
    <w:p w14:paraId="77E71D20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1.2</w:t>
      </w:r>
      <w:r w:rsidRPr="00B74AA8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785541F1" w14:textId="77777777" w:rsidR="00B74AA8" w:rsidRPr="00B74AA8" w:rsidRDefault="00B74AA8" w:rsidP="00F1278E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B74AA8">
        <w:rPr>
          <w:rFonts w:ascii="Arial" w:hAnsi="Arial" w:cs="Arial"/>
          <w:bCs/>
          <w:sz w:val="18"/>
          <w:szCs w:val="18"/>
          <w:lang w:val="hu-HU"/>
        </w:rPr>
        <w:t>1.3</w:t>
      </w:r>
      <w:r w:rsidRPr="00B74AA8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B74AA8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B74AA8" w:rsidRPr="00B74AA8" w14:paraId="02E174C2" w14:textId="77777777" w:rsidTr="00474AD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FBB59" w14:textId="77777777" w:rsidR="00B74AA8" w:rsidRPr="00B74AA8" w:rsidRDefault="00B74AA8" w:rsidP="00F1278E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lastRenderedPageBreak/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34ED4" w14:textId="77777777" w:rsidR="00B74AA8" w:rsidRPr="00B74AA8" w:rsidRDefault="00B74AA8" w:rsidP="00F1278E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6403DA7A" w14:textId="77777777" w:rsidR="00B74AA8" w:rsidRPr="00B74AA8" w:rsidRDefault="00B74AA8" w:rsidP="00F1278E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B74AA8" w:rsidRPr="00B74AA8" w14:paraId="52CB479B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8E250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ED481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B74AA8" w:rsidRPr="00B74AA8" w14:paraId="62D61578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6F121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D6770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B74AA8" w:rsidRPr="00B74AA8" w14:paraId="56CB2CBB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27802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2AF47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B74AA8" w:rsidRPr="00B74AA8" w14:paraId="4F729ACD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FD807" w14:textId="77777777" w:rsidR="00B74AA8" w:rsidRPr="00B74AA8" w:rsidRDefault="00B74AA8" w:rsidP="00F1278E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F5312" w14:textId="77777777" w:rsidR="00B74AA8" w:rsidRPr="00B74AA8" w:rsidRDefault="00B74AA8" w:rsidP="00F1278E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B74AA8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7AA98C54" w14:textId="77777777" w:rsidR="00B74AA8" w:rsidRPr="00B74AA8" w:rsidRDefault="00B74AA8" w:rsidP="00F1278E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B74AA8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55796BE6" w14:textId="77777777" w:rsidR="00B74AA8" w:rsidRPr="00070522" w:rsidRDefault="00B74AA8" w:rsidP="00F1278E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jc w:val="left"/>
        <w:rPr>
          <w:rFonts w:ascii="Arial" w:hAnsi="Arial"/>
          <w:b/>
          <w:sz w:val="18"/>
        </w:rPr>
      </w:pPr>
      <w:r w:rsidRPr="00F1278E">
        <w:rPr>
          <w:rFonts w:ascii="Arial" w:hAnsi="Arial"/>
          <w:b/>
          <w:sz w:val="18"/>
          <w:lang w:val="hu-HU"/>
        </w:rPr>
        <w:t>A beváltási határidő meghosszabbításnak díja</w:t>
      </w:r>
    </w:p>
    <w:p w14:paraId="2E2D3A49" w14:textId="77777777" w:rsidR="00B74AA8" w:rsidRPr="00B74AA8" w:rsidRDefault="00B74AA8" w:rsidP="00F1278E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B74AA8">
        <w:rPr>
          <w:rFonts w:ascii="Arial" w:hAnsi="Arial" w:cs="Arial"/>
          <w:sz w:val="18"/>
          <w:szCs w:val="18"/>
          <w:lang w:val="hu-HU"/>
        </w:rPr>
        <w:t>2.1</w:t>
      </w:r>
      <w:r w:rsidRPr="00B74AA8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1821D34C" w14:textId="337E457B" w:rsidR="00B74AA8" w:rsidRPr="00901141" w:rsidRDefault="00B74AA8" w:rsidP="00F1278E">
      <w:pPr>
        <w:pStyle w:val="Listaszerbekezds"/>
        <w:numPr>
          <w:ilvl w:val="1"/>
          <w:numId w:val="36"/>
        </w:numPr>
        <w:shd w:val="clear" w:color="auto" w:fill="FFFFFF"/>
        <w:spacing w:after="240"/>
        <w:rPr>
          <w:rFonts w:ascii="Arial" w:hAnsi="Arial"/>
          <w:sz w:val="18"/>
        </w:rPr>
      </w:pPr>
      <w:r w:rsidRPr="00901141">
        <w:rPr>
          <w:rFonts w:ascii="Arial" w:hAnsi="Arial"/>
          <w:sz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64B3B6BD" w14:textId="77777777" w:rsidR="00B74AA8" w:rsidRPr="00070522" w:rsidRDefault="00B74AA8" w:rsidP="00F1278E">
      <w:pPr>
        <w:shd w:val="clear" w:color="auto" w:fill="FFFFFF"/>
        <w:spacing w:before="0" w:after="60"/>
        <w:ind w:left="426" w:hanging="426"/>
        <w:rPr>
          <w:rFonts w:ascii="Arial" w:hAnsi="Arial"/>
          <w:sz w:val="18"/>
        </w:rPr>
      </w:pPr>
      <w:r w:rsidRPr="00F1278E">
        <w:rPr>
          <w:rFonts w:ascii="Arial" w:hAnsi="Arial"/>
          <w:sz w:val="18"/>
          <w:lang w:val="hu-HU"/>
        </w:rPr>
        <w:t>2.3</w:t>
      </w:r>
      <w:r w:rsidRPr="00F1278E">
        <w:rPr>
          <w:rFonts w:ascii="Arial" w:hAnsi="Arial"/>
          <w:sz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7"/>
    <w:bookmarkEnd w:id="18"/>
    <w:p w14:paraId="4AD979F4" w14:textId="11D77F56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B02B32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1B90D" w14:textId="77777777" w:rsidR="00EB11F6" w:rsidRDefault="00EB11F6">
      <w:pPr>
        <w:spacing w:before="0" w:after="0"/>
      </w:pPr>
      <w:r>
        <w:separator/>
      </w:r>
    </w:p>
  </w:endnote>
  <w:endnote w:type="continuationSeparator" w:id="0">
    <w:p w14:paraId="223E1C65" w14:textId="77777777" w:rsidR="00EB11F6" w:rsidRDefault="00EB11F6">
      <w:pPr>
        <w:spacing w:before="0" w:after="0"/>
      </w:pPr>
      <w:r>
        <w:continuationSeparator/>
      </w:r>
    </w:p>
  </w:endnote>
  <w:endnote w:type="continuationNotice" w:id="1">
    <w:p w14:paraId="3ACAF61C" w14:textId="77777777" w:rsidR="00EB11F6" w:rsidRDefault="00EB11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E0B2" w14:textId="36A5823E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562B" w14:textId="77777777" w:rsidR="00EB11F6" w:rsidRDefault="00EB11F6">
      <w:pPr>
        <w:spacing w:before="0" w:after="0"/>
      </w:pPr>
      <w:r>
        <w:separator/>
      </w:r>
    </w:p>
  </w:footnote>
  <w:footnote w:type="continuationSeparator" w:id="0">
    <w:p w14:paraId="22B8934E" w14:textId="77777777" w:rsidR="00EB11F6" w:rsidRDefault="00EB11F6">
      <w:pPr>
        <w:spacing w:before="0" w:after="0"/>
      </w:pPr>
      <w:r>
        <w:continuationSeparator/>
      </w:r>
    </w:p>
  </w:footnote>
  <w:footnote w:type="continuationNotice" w:id="1">
    <w:p w14:paraId="4B03477F" w14:textId="77777777" w:rsidR="00EB11F6" w:rsidRDefault="00EB11F6">
      <w:pPr>
        <w:spacing w:before="0" w:after="0"/>
      </w:pPr>
    </w:p>
  </w:footnote>
  <w:footnote w:id="2">
    <w:p w14:paraId="0941EE88" w14:textId="0E1817D6" w:rsidR="00E42F43" w:rsidRPr="000A4B21" w:rsidRDefault="00E42F43" w:rsidP="000F65F1">
      <w:pPr>
        <w:pStyle w:val="Lbjegyzetszveg"/>
        <w:jc w:val="both"/>
        <w:rPr>
          <w:lang w:val="hu-HU"/>
        </w:rPr>
      </w:pPr>
      <w:r w:rsidRPr="005C2E9B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5C2E9B">
        <w:rPr>
          <w:rFonts w:ascii="Arial" w:hAnsi="Arial" w:cs="Arial"/>
          <w:sz w:val="16"/>
          <w:szCs w:val="16"/>
          <w:lang w:val="hu-HU"/>
        </w:rPr>
        <w:t xml:space="preserve"> </w:t>
      </w:r>
      <w:r w:rsidRPr="001D0326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Default="00E42F43" w:rsidP="000F65F1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3E1AAB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Default="00E42F43" w:rsidP="000F65F1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5D767056" w14:textId="77777777" w:rsidR="00B74AA8" w:rsidRPr="00E01407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23C080DD" w14:textId="77777777" w:rsidR="00B74AA8" w:rsidRPr="00E01407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06EF994A" w14:textId="36B87140" w:rsidR="00015D0A" w:rsidRPr="005335D8" w:rsidRDefault="00015D0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 xml:space="preserve">A </w:t>
      </w:r>
      <w:r w:rsidRPr="00E01407">
        <w:rPr>
          <w:rFonts w:ascii="Arial" w:hAnsi="Arial" w:cs="Arial"/>
          <w:sz w:val="18"/>
          <w:szCs w:val="18"/>
        </w:rPr>
        <w:t xml:space="preserve">Rendszerben elektronikus úton beérkezett kezességi kérelmek </w:t>
      </w:r>
      <w:r w:rsidRPr="00E01407">
        <w:rPr>
          <w:rFonts w:ascii="Arial" w:hAnsi="Arial" w:cs="Arial"/>
          <w:sz w:val="18"/>
          <w:szCs w:val="18"/>
          <w:lang w:val="hu-HU"/>
        </w:rPr>
        <w:t>tekintetében irányadóak a jelen táblázatban szereplő időpontok</w:t>
      </w:r>
    </w:p>
  </w:footnote>
  <w:footnote w:id="8">
    <w:p w14:paraId="14CAE298" w14:textId="218685D8" w:rsidR="00B5219E" w:rsidRPr="005335D8" w:rsidRDefault="00B5219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</w:t>
      </w:r>
      <w:r>
        <w:rPr>
          <w:rFonts w:ascii="Arial" w:hAnsi="Arial" w:cs="Arial"/>
          <w:sz w:val="18"/>
          <w:szCs w:val="18"/>
          <w:lang w:val="hu-HU"/>
        </w:rPr>
        <w:t>.</w:t>
      </w:r>
    </w:p>
  </w:footnote>
  <w:footnote w:id="9">
    <w:p w14:paraId="29297A8B" w14:textId="77777777" w:rsidR="00B74AA8" w:rsidRPr="008B041D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Pr="008B041D">
        <w:rPr>
          <w:rFonts w:ascii="Arial" w:hAnsi="Arial" w:cs="Arial"/>
          <w:sz w:val="18"/>
          <w:szCs w:val="18"/>
          <w:lang w:val="hu-HU"/>
        </w:rPr>
        <w:t>Az AVHGA Krízis Agrárgarancia Program keretében, illetve azon kívül vállalt kezességekre egységesen.</w:t>
      </w:r>
    </w:p>
  </w:footnote>
  <w:footnote w:id="10">
    <w:p w14:paraId="374EE942" w14:textId="77777777" w:rsidR="00B74AA8" w:rsidRPr="00130A5F" w:rsidRDefault="00B74AA8" w:rsidP="00B74AA8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11">
    <w:p w14:paraId="2D64229E" w14:textId="77777777" w:rsidR="00A730D0" w:rsidRPr="00C41DDC" w:rsidRDefault="00A730D0" w:rsidP="00A730D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320C9">
        <w:rPr>
          <w:rFonts w:ascii="Arial" w:hAnsi="Arial" w:cs="Arial"/>
          <w:sz w:val="18"/>
          <w:szCs w:val="18"/>
        </w:rPr>
        <w:t>Állami támogatási intézkedésekre vonatkozó ideiglenes keret a gazdaságnak a jelenlegi COVID-19 járvánnyal összefüggésben való támogatása céljából című bizottsági közlemény</w:t>
      </w:r>
      <w:r>
        <w:rPr>
          <w:rFonts w:ascii="Arial" w:hAnsi="Arial" w:cs="Arial"/>
          <w:sz w:val="18"/>
          <w:szCs w:val="18"/>
          <w:lang w:val="hu-HU"/>
        </w:rPr>
        <w:t xml:space="preserve">en alapuló jogcím.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3" name="Kép 3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08B8903B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Érvényes: 202</w:t>
    </w:r>
    <w:r w:rsidR="008D3C3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28054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április</w:t>
    </w:r>
    <w:r w:rsidR="005335D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28054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4</w:t>
    </w:r>
    <w:r w:rsidR="00946C72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től a PartnerWeben benyújtott kérelmekre</w:t>
    </w:r>
  </w:p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7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0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3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5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26"/>
  </w:num>
  <w:num w:numId="3">
    <w:abstractNumId w:val="33"/>
  </w:num>
  <w:num w:numId="4">
    <w:abstractNumId w:val="6"/>
  </w:num>
  <w:num w:numId="5">
    <w:abstractNumId w:val="20"/>
  </w:num>
  <w:num w:numId="6">
    <w:abstractNumId w:val="10"/>
  </w:num>
  <w:num w:numId="7">
    <w:abstractNumId w:val="14"/>
  </w:num>
  <w:num w:numId="8">
    <w:abstractNumId w:val="24"/>
  </w:num>
  <w:num w:numId="9">
    <w:abstractNumId w:val="35"/>
  </w:num>
  <w:num w:numId="10">
    <w:abstractNumId w:val="19"/>
  </w:num>
  <w:num w:numId="11">
    <w:abstractNumId w:val="30"/>
  </w:num>
  <w:num w:numId="12">
    <w:abstractNumId w:val="15"/>
  </w:num>
  <w:num w:numId="13">
    <w:abstractNumId w:val="18"/>
  </w:num>
  <w:num w:numId="14">
    <w:abstractNumId w:val="21"/>
  </w:num>
  <w:num w:numId="15">
    <w:abstractNumId w:val="25"/>
  </w:num>
  <w:num w:numId="16">
    <w:abstractNumId w:val="13"/>
  </w:num>
  <w:num w:numId="17">
    <w:abstractNumId w:val="4"/>
  </w:num>
  <w:num w:numId="18">
    <w:abstractNumId w:val="28"/>
  </w:num>
  <w:num w:numId="19">
    <w:abstractNumId w:val="16"/>
  </w:num>
  <w:num w:numId="20">
    <w:abstractNumId w:val="9"/>
  </w:num>
  <w:num w:numId="21">
    <w:abstractNumId w:val="1"/>
  </w:num>
  <w:num w:numId="22">
    <w:abstractNumId w:val="29"/>
  </w:num>
  <w:num w:numId="23">
    <w:abstractNumId w:val="7"/>
  </w:num>
  <w:num w:numId="24">
    <w:abstractNumId w:val="0"/>
  </w:num>
  <w:num w:numId="25">
    <w:abstractNumId w:val="32"/>
  </w:num>
  <w:num w:numId="26">
    <w:abstractNumId w:val="8"/>
  </w:num>
  <w:num w:numId="27">
    <w:abstractNumId w:val="31"/>
  </w:num>
  <w:num w:numId="28">
    <w:abstractNumId w:val="11"/>
  </w:num>
  <w:num w:numId="29">
    <w:abstractNumId w:val="22"/>
  </w:num>
  <w:num w:numId="30">
    <w:abstractNumId w:val="5"/>
  </w:num>
  <w:num w:numId="31">
    <w:abstractNumId w:val="2"/>
  </w:num>
  <w:num w:numId="32">
    <w:abstractNumId w:val="23"/>
  </w:num>
  <w:num w:numId="33">
    <w:abstractNumId w:val="12"/>
  </w:num>
  <w:num w:numId="34">
    <w:abstractNumId w:val="27"/>
  </w:num>
  <w:num w:numId="35">
    <w:abstractNumId w:val="17"/>
  </w:num>
  <w:num w:numId="3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r9OdBw+uwMJV5l5n8ocbu2MHnF3XBI9KApI0ceU1LbcCDZVq7/5yu9SQkJTVUeZ91doyA1BfirsL5F6bectag==" w:salt="Ki4nMdOjxKG/y3e9jGeru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502B"/>
    <w:rsid w:val="00007FE5"/>
    <w:rsid w:val="000148E3"/>
    <w:rsid w:val="00015D0A"/>
    <w:rsid w:val="00020E45"/>
    <w:rsid w:val="000215E0"/>
    <w:rsid w:val="00024CB3"/>
    <w:rsid w:val="00025D2D"/>
    <w:rsid w:val="00026784"/>
    <w:rsid w:val="000321ED"/>
    <w:rsid w:val="000328B6"/>
    <w:rsid w:val="00033669"/>
    <w:rsid w:val="00034561"/>
    <w:rsid w:val="00034A7A"/>
    <w:rsid w:val="00044F7A"/>
    <w:rsid w:val="00044FE4"/>
    <w:rsid w:val="00047A76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2FC7"/>
    <w:rsid w:val="00074ACF"/>
    <w:rsid w:val="000774E9"/>
    <w:rsid w:val="00082C4F"/>
    <w:rsid w:val="00084BCD"/>
    <w:rsid w:val="00091A82"/>
    <w:rsid w:val="00093919"/>
    <w:rsid w:val="000971C8"/>
    <w:rsid w:val="000A0A4C"/>
    <w:rsid w:val="000A0E0F"/>
    <w:rsid w:val="000A1DFF"/>
    <w:rsid w:val="000A1F77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226C"/>
    <w:rsid w:val="000C46DB"/>
    <w:rsid w:val="000C5585"/>
    <w:rsid w:val="000D12BC"/>
    <w:rsid w:val="000D2AD6"/>
    <w:rsid w:val="000D2C5A"/>
    <w:rsid w:val="000D4707"/>
    <w:rsid w:val="000D692C"/>
    <w:rsid w:val="000E0950"/>
    <w:rsid w:val="000E0A1D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AB0"/>
    <w:rsid w:val="001113AE"/>
    <w:rsid w:val="001130F0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438C"/>
    <w:rsid w:val="00145F3D"/>
    <w:rsid w:val="00146A63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210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2558"/>
    <w:rsid w:val="00182C13"/>
    <w:rsid w:val="00182CB5"/>
    <w:rsid w:val="001837BC"/>
    <w:rsid w:val="00184EBE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482D"/>
    <w:rsid w:val="001F4A93"/>
    <w:rsid w:val="00200897"/>
    <w:rsid w:val="00202645"/>
    <w:rsid w:val="00206C14"/>
    <w:rsid w:val="00207328"/>
    <w:rsid w:val="00210CC1"/>
    <w:rsid w:val="002113A2"/>
    <w:rsid w:val="00212416"/>
    <w:rsid w:val="00212723"/>
    <w:rsid w:val="00213C63"/>
    <w:rsid w:val="002159D5"/>
    <w:rsid w:val="0021754F"/>
    <w:rsid w:val="00221898"/>
    <w:rsid w:val="00225B9D"/>
    <w:rsid w:val="00226BAF"/>
    <w:rsid w:val="00227632"/>
    <w:rsid w:val="00227771"/>
    <w:rsid w:val="00231A4C"/>
    <w:rsid w:val="00232DB3"/>
    <w:rsid w:val="00237AC5"/>
    <w:rsid w:val="00237F93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CBE"/>
    <w:rsid w:val="00280548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165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C8D"/>
    <w:rsid w:val="00364E6E"/>
    <w:rsid w:val="003664BE"/>
    <w:rsid w:val="00367AC1"/>
    <w:rsid w:val="0037228A"/>
    <w:rsid w:val="003745D8"/>
    <w:rsid w:val="00375134"/>
    <w:rsid w:val="00375209"/>
    <w:rsid w:val="00377B16"/>
    <w:rsid w:val="00381908"/>
    <w:rsid w:val="00384F8F"/>
    <w:rsid w:val="0038617C"/>
    <w:rsid w:val="00390BFC"/>
    <w:rsid w:val="003935A6"/>
    <w:rsid w:val="003A3422"/>
    <w:rsid w:val="003A5124"/>
    <w:rsid w:val="003A721E"/>
    <w:rsid w:val="003B0C79"/>
    <w:rsid w:val="003B2BDE"/>
    <w:rsid w:val="003B3EFE"/>
    <w:rsid w:val="003B4BBF"/>
    <w:rsid w:val="003B70D7"/>
    <w:rsid w:val="003C1747"/>
    <w:rsid w:val="003C2873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6C65"/>
    <w:rsid w:val="003F125E"/>
    <w:rsid w:val="003F31F0"/>
    <w:rsid w:val="003F5E8A"/>
    <w:rsid w:val="003F7E78"/>
    <w:rsid w:val="004006C5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26D97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768C"/>
    <w:rsid w:val="00485FFC"/>
    <w:rsid w:val="004873D3"/>
    <w:rsid w:val="0049180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7CD8"/>
    <w:rsid w:val="004D0D44"/>
    <w:rsid w:val="004D2EF5"/>
    <w:rsid w:val="004D511A"/>
    <w:rsid w:val="004D5159"/>
    <w:rsid w:val="004E1DAA"/>
    <w:rsid w:val="004E2C1A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1109D"/>
    <w:rsid w:val="00516EBA"/>
    <w:rsid w:val="00523A8D"/>
    <w:rsid w:val="00524DD5"/>
    <w:rsid w:val="005268D7"/>
    <w:rsid w:val="005269E9"/>
    <w:rsid w:val="00531020"/>
    <w:rsid w:val="005325D2"/>
    <w:rsid w:val="00533475"/>
    <w:rsid w:val="005335D8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43FC"/>
    <w:rsid w:val="00575BE9"/>
    <w:rsid w:val="00575E9E"/>
    <w:rsid w:val="0058040C"/>
    <w:rsid w:val="005808E4"/>
    <w:rsid w:val="00580B65"/>
    <w:rsid w:val="005826A3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508"/>
    <w:rsid w:val="005A79DF"/>
    <w:rsid w:val="005A7DDC"/>
    <w:rsid w:val="005B1AA8"/>
    <w:rsid w:val="005B32E7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E09E4"/>
    <w:rsid w:val="005E4C80"/>
    <w:rsid w:val="005E6C60"/>
    <w:rsid w:val="005F17D3"/>
    <w:rsid w:val="005F1944"/>
    <w:rsid w:val="005F2F69"/>
    <w:rsid w:val="005F69E2"/>
    <w:rsid w:val="005F6AEA"/>
    <w:rsid w:val="0060204C"/>
    <w:rsid w:val="0060205E"/>
    <w:rsid w:val="00606032"/>
    <w:rsid w:val="0061025A"/>
    <w:rsid w:val="00610AB0"/>
    <w:rsid w:val="006118F0"/>
    <w:rsid w:val="00617B53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CBD"/>
    <w:rsid w:val="00641EFE"/>
    <w:rsid w:val="00646985"/>
    <w:rsid w:val="0065144E"/>
    <w:rsid w:val="00654428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80C54"/>
    <w:rsid w:val="006815C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2F7B"/>
    <w:rsid w:val="006E6083"/>
    <w:rsid w:val="006E6DA6"/>
    <w:rsid w:val="006E73CB"/>
    <w:rsid w:val="006F129F"/>
    <w:rsid w:val="006F1726"/>
    <w:rsid w:val="006F1EEC"/>
    <w:rsid w:val="006F4728"/>
    <w:rsid w:val="006F6958"/>
    <w:rsid w:val="006F7D30"/>
    <w:rsid w:val="0070056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1E1C"/>
    <w:rsid w:val="00733BAD"/>
    <w:rsid w:val="00736D7A"/>
    <w:rsid w:val="00740F33"/>
    <w:rsid w:val="007445E3"/>
    <w:rsid w:val="00746438"/>
    <w:rsid w:val="0075235B"/>
    <w:rsid w:val="00752B58"/>
    <w:rsid w:val="00755B05"/>
    <w:rsid w:val="00761B7F"/>
    <w:rsid w:val="00765D4B"/>
    <w:rsid w:val="00767B7A"/>
    <w:rsid w:val="00772170"/>
    <w:rsid w:val="007724D5"/>
    <w:rsid w:val="00772AB6"/>
    <w:rsid w:val="0077352C"/>
    <w:rsid w:val="00774060"/>
    <w:rsid w:val="0077430F"/>
    <w:rsid w:val="0077553F"/>
    <w:rsid w:val="00780B1E"/>
    <w:rsid w:val="007812C2"/>
    <w:rsid w:val="0078162F"/>
    <w:rsid w:val="00781E98"/>
    <w:rsid w:val="0078256A"/>
    <w:rsid w:val="00782929"/>
    <w:rsid w:val="00786888"/>
    <w:rsid w:val="0079006C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50AF"/>
    <w:rsid w:val="007D06C6"/>
    <w:rsid w:val="007D0D76"/>
    <w:rsid w:val="007D2794"/>
    <w:rsid w:val="007D27F2"/>
    <w:rsid w:val="007D3DFD"/>
    <w:rsid w:val="007D4AAF"/>
    <w:rsid w:val="007E0C5F"/>
    <w:rsid w:val="007E2C28"/>
    <w:rsid w:val="007E39EB"/>
    <w:rsid w:val="007E3D67"/>
    <w:rsid w:val="007E414E"/>
    <w:rsid w:val="007E4889"/>
    <w:rsid w:val="007E5EE3"/>
    <w:rsid w:val="007E7619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021"/>
    <w:rsid w:val="00813FE3"/>
    <w:rsid w:val="008176D1"/>
    <w:rsid w:val="00820770"/>
    <w:rsid w:val="00822315"/>
    <w:rsid w:val="008224FB"/>
    <w:rsid w:val="008232F4"/>
    <w:rsid w:val="00826C16"/>
    <w:rsid w:val="00827EBA"/>
    <w:rsid w:val="00831AF8"/>
    <w:rsid w:val="00835260"/>
    <w:rsid w:val="0083603B"/>
    <w:rsid w:val="008360EB"/>
    <w:rsid w:val="0084070D"/>
    <w:rsid w:val="00842B38"/>
    <w:rsid w:val="00844E6E"/>
    <w:rsid w:val="00847731"/>
    <w:rsid w:val="00850FD0"/>
    <w:rsid w:val="0085144A"/>
    <w:rsid w:val="00853AA6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A035C"/>
    <w:rsid w:val="008A322A"/>
    <w:rsid w:val="008A4567"/>
    <w:rsid w:val="008A5107"/>
    <w:rsid w:val="008A53C9"/>
    <w:rsid w:val="008B2378"/>
    <w:rsid w:val="008B31B2"/>
    <w:rsid w:val="008B4ACB"/>
    <w:rsid w:val="008B76BF"/>
    <w:rsid w:val="008C1E6D"/>
    <w:rsid w:val="008C2207"/>
    <w:rsid w:val="008C3AD5"/>
    <w:rsid w:val="008C5620"/>
    <w:rsid w:val="008C5FFF"/>
    <w:rsid w:val="008C6CD2"/>
    <w:rsid w:val="008D2138"/>
    <w:rsid w:val="008D3C3B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8D4"/>
    <w:rsid w:val="008F23FA"/>
    <w:rsid w:val="008F2CF1"/>
    <w:rsid w:val="008F3747"/>
    <w:rsid w:val="008F7350"/>
    <w:rsid w:val="0090029B"/>
    <w:rsid w:val="00901141"/>
    <w:rsid w:val="009018C9"/>
    <w:rsid w:val="0090416C"/>
    <w:rsid w:val="00906297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316E"/>
    <w:rsid w:val="00933443"/>
    <w:rsid w:val="00937201"/>
    <w:rsid w:val="009438C5"/>
    <w:rsid w:val="00943D7C"/>
    <w:rsid w:val="00945017"/>
    <w:rsid w:val="0094511A"/>
    <w:rsid w:val="00946C72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5710"/>
    <w:rsid w:val="00976A47"/>
    <w:rsid w:val="009819B3"/>
    <w:rsid w:val="00982D06"/>
    <w:rsid w:val="009856B5"/>
    <w:rsid w:val="00986CAB"/>
    <w:rsid w:val="00987DE7"/>
    <w:rsid w:val="00993CF5"/>
    <w:rsid w:val="009949E8"/>
    <w:rsid w:val="00994B15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878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320E"/>
    <w:rsid w:val="009F4017"/>
    <w:rsid w:val="009F4B2A"/>
    <w:rsid w:val="009F6864"/>
    <w:rsid w:val="00A00A49"/>
    <w:rsid w:val="00A068A7"/>
    <w:rsid w:val="00A10E4F"/>
    <w:rsid w:val="00A11014"/>
    <w:rsid w:val="00A20DFC"/>
    <w:rsid w:val="00A218B7"/>
    <w:rsid w:val="00A219ED"/>
    <w:rsid w:val="00A225E3"/>
    <w:rsid w:val="00A27824"/>
    <w:rsid w:val="00A27BAB"/>
    <w:rsid w:val="00A308B9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30D0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C0C71"/>
    <w:rsid w:val="00AC2DEE"/>
    <w:rsid w:val="00AD08C9"/>
    <w:rsid w:val="00AD27D3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0E5C"/>
    <w:rsid w:val="00AF5D4F"/>
    <w:rsid w:val="00B00204"/>
    <w:rsid w:val="00B02B32"/>
    <w:rsid w:val="00B033D6"/>
    <w:rsid w:val="00B10031"/>
    <w:rsid w:val="00B14CB0"/>
    <w:rsid w:val="00B1507D"/>
    <w:rsid w:val="00B1689F"/>
    <w:rsid w:val="00B21E7A"/>
    <w:rsid w:val="00B22F36"/>
    <w:rsid w:val="00B232EB"/>
    <w:rsid w:val="00B23B13"/>
    <w:rsid w:val="00B24084"/>
    <w:rsid w:val="00B243B5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219E"/>
    <w:rsid w:val="00B53104"/>
    <w:rsid w:val="00B53988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9299B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7BBB"/>
    <w:rsid w:val="00BE1959"/>
    <w:rsid w:val="00BE33BB"/>
    <w:rsid w:val="00BE562F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FBE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3576"/>
    <w:rsid w:val="00C76C5D"/>
    <w:rsid w:val="00C81284"/>
    <w:rsid w:val="00C8380D"/>
    <w:rsid w:val="00C84136"/>
    <w:rsid w:val="00C8605A"/>
    <w:rsid w:val="00C90B81"/>
    <w:rsid w:val="00C9131F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5C23"/>
    <w:rsid w:val="00D062DC"/>
    <w:rsid w:val="00D110A9"/>
    <w:rsid w:val="00D1296A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4716"/>
    <w:rsid w:val="00D66580"/>
    <w:rsid w:val="00D719A1"/>
    <w:rsid w:val="00D7492D"/>
    <w:rsid w:val="00D7496D"/>
    <w:rsid w:val="00D76689"/>
    <w:rsid w:val="00D77E02"/>
    <w:rsid w:val="00D81810"/>
    <w:rsid w:val="00D90EB8"/>
    <w:rsid w:val="00D9377B"/>
    <w:rsid w:val="00D93A6D"/>
    <w:rsid w:val="00D94128"/>
    <w:rsid w:val="00D94673"/>
    <w:rsid w:val="00D94D58"/>
    <w:rsid w:val="00D96E00"/>
    <w:rsid w:val="00DA0826"/>
    <w:rsid w:val="00DA0A00"/>
    <w:rsid w:val="00DA363C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3B51"/>
    <w:rsid w:val="00DF41F6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269B4"/>
    <w:rsid w:val="00E32177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9CD"/>
    <w:rsid w:val="00E60BB0"/>
    <w:rsid w:val="00E63D15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98A"/>
    <w:rsid w:val="00E8045C"/>
    <w:rsid w:val="00E8053B"/>
    <w:rsid w:val="00E80FA2"/>
    <w:rsid w:val="00E832F2"/>
    <w:rsid w:val="00E839B5"/>
    <w:rsid w:val="00E85DF4"/>
    <w:rsid w:val="00E9032F"/>
    <w:rsid w:val="00E91734"/>
    <w:rsid w:val="00E93B77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7DA"/>
    <w:rsid w:val="00ED08AE"/>
    <w:rsid w:val="00ED5354"/>
    <w:rsid w:val="00ED6204"/>
    <w:rsid w:val="00ED68DF"/>
    <w:rsid w:val="00ED7073"/>
    <w:rsid w:val="00EE1940"/>
    <w:rsid w:val="00EE2444"/>
    <w:rsid w:val="00EE3B32"/>
    <w:rsid w:val="00EE3F7E"/>
    <w:rsid w:val="00EE412F"/>
    <w:rsid w:val="00EE4654"/>
    <w:rsid w:val="00EE51BC"/>
    <w:rsid w:val="00EF2525"/>
    <w:rsid w:val="00EF2701"/>
    <w:rsid w:val="00EF2E61"/>
    <w:rsid w:val="00EF3B53"/>
    <w:rsid w:val="00EF4D92"/>
    <w:rsid w:val="00F01848"/>
    <w:rsid w:val="00F0457D"/>
    <w:rsid w:val="00F04F8F"/>
    <w:rsid w:val="00F06B81"/>
    <w:rsid w:val="00F07003"/>
    <w:rsid w:val="00F07B86"/>
    <w:rsid w:val="00F1278E"/>
    <w:rsid w:val="00F12961"/>
    <w:rsid w:val="00F146DE"/>
    <w:rsid w:val="00F15854"/>
    <w:rsid w:val="00F25508"/>
    <w:rsid w:val="00F364F7"/>
    <w:rsid w:val="00F369B6"/>
    <w:rsid w:val="00F42B71"/>
    <w:rsid w:val="00F42C0E"/>
    <w:rsid w:val="00F43370"/>
    <w:rsid w:val="00F4442F"/>
    <w:rsid w:val="00F44445"/>
    <w:rsid w:val="00F45928"/>
    <w:rsid w:val="00F51183"/>
    <w:rsid w:val="00F5272C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A71FB"/>
    <w:rsid w:val="00FB1652"/>
    <w:rsid w:val="00FB77A7"/>
    <w:rsid w:val="00FC0969"/>
    <w:rsid w:val="00FC248D"/>
    <w:rsid w:val="00FC4C4C"/>
    <w:rsid w:val="00FC769A"/>
    <w:rsid w:val="00FD2AF7"/>
    <w:rsid w:val="00FD7031"/>
    <w:rsid w:val="00FE130B"/>
    <w:rsid w:val="00FE3154"/>
    <w:rsid w:val="00FE3D1C"/>
    <w:rsid w:val="00FE513C"/>
    <w:rsid w:val="00FE67D0"/>
    <w:rsid w:val="00FE7B41"/>
    <w:rsid w:val="00FF1156"/>
    <w:rsid w:val="00FF5E6F"/>
    <w:rsid w:val="00FF66A7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2C24-F502-47A0-8D1D-C7E48960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0</TotalTime>
  <Pages>13</Pages>
  <Words>5718</Words>
  <Characters>39458</Characters>
  <Application>Microsoft Office Word</Application>
  <DocSecurity>0</DocSecurity>
  <Lines>328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Vályi-Nagy Adrienn dr.</cp:lastModifiedBy>
  <cp:revision>3</cp:revision>
  <cp:lastPrinted>2021-05-25T13:43:00Z</cp:lastPrinted>
  <dcterms:created xsi:type="dcterms:W3CDTF">2022-03-11T08:57:00Z</dcterms:created>
  <dcterms:modified xsi:type="dcterms:W3CDTF">2022-03-11T08:57:00Z</dcterms:modified>
</cp:coreProperties>
</file>